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BD9" w:rsidRDefault="00532D40">
      <w:pPr>
        <w:sectPr w:rsidR="00793BD9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0</wp:posOffset>
            </wp:positionH>
            <wp:positionV relativeFrom="margin">
              <wp:posOffset>7543800</wp:posOffset>
            </wp:positionV>
            <wp:extent cx="1645923" cy="1120142"/>
            <wp:effectExtent l="0" t="0" r="0" b="0"/>
            <wp:wrapNone/>
            <wp:docPr id="100075" name="Picture 100075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5168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2598420</wp:posOffset>
                </wp:positionV>
                <wp:extent cx="6423660" cy="8001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DDA" w:rsidRPr="00FC5DDA" w:rsidRDefault="00532D40" w:rsidP="00FC5DDA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FC5DDA">
                              <w:rPr>
                                <w:rFonts w:cstheme="minorHAnsi"/>
                                <w:color w:val="000000"/>
                                <w:sz w:val="24"/>
                                <w:szCs w:val="20"/>
                              </w:rPr>
                              <w:t xml:space="preserve">Provided by HNI </w:t>
                            </w:r>
                          </w:p>
                          <w:p w:rsidR="00FC5DDA" w:rsidRDefault="00FC5DD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5" type="#_x0000_t202" style="width:505.8pt;height:63pt;margin-top:204.6pt;margin-left:-5.4pt;mso-position-horizontal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<v:textbox>
                  <w:txbxContent>
                    <w:p w:rsidR="00FC5DDA" w:rsidRPr="00FC5DDA" w:rsidP="00FC5DDA" w14:paraId="611D5F2F" w14:textId="77777777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cstheme="minorHAnsi"/>
                          <w:sz w:val="28"/>
                        </w:rPr>
                      </w:pPr>
                      <w:r w:rsidRPr="00FC5DDA">
                        <w:rPr>
                          <w:rFonts w:cstheme="minorHAnsi"/>
                          <w:color w:val="000000"/>
                          <w:sz w:val="24"/>
                          <w:szCs w:val="20"/>
                        </w:rPr>
                        <w:t xml:space="preserve">Provided by </w:t>
                      </w:r>
                      <w:r w:rsidRPr="00FC5DDA">
                        <w:rPr>
                          <w:rFonts w:cstheme="minorHAnsi"/>
                          <w:color w:val="000000"/>
                          <w:sz w:val="24"/>
                          <w:szCs w:val="20"/>
                        </w:rPr>
                        <w:t xml:space="preserve">HNI </w:t>
                      </w:r>
                    </w:p>
                    <w:p w:rsidR="00FC5DDA" w14:paraId="377081AF" w14:textId="77777777"/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eastAsiaTheme="minorHAnsi" w:cstheme="minorBidi"/>
          <w:color w:val="auto"/>
          <w:sz w:val="22"/>
          <w:szCs w:val="22"/>
        </w:rPr>
        <w:id w:val="5699279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807DD" w:rsidRPr="00D807DD" w:rsidRDefault="00532D40">
          <w:pPr>
            <w:pStyle w:val="TOCHeading"/>
            <w:rPr>
              <w:rStyle w:val="Heading1Char"/>
            </w:rPr>
          </w:pPr>
          <w:r w:rsidRPr="00D807DD">
            <w:rPr>
              <w:rStyle w:val="Heading1Char"/>
            </w:rPr>
            <w:t>Table of Contents</w:t>
          </w:r>
        </w:p>
        <w:p w:rsidR="00D807DD" w:rsidRPr="00D807DD" w:rsidRDefault="00532D40" w:rsidP="00D807DD">
          <w:pPr>
            <w:pStyle w:val="TOC1"/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85657" w:history="1">
            <w:r w:rsidRPr="00D807DD">
              <w:rPr>
                <w:rStyle w:val="Hyperlink"/>
              </w:rPr>
              <w:t>Introduction</w:t>
            </w:r>
            <w:r w:rsidRPr="00D807DD">
              <w:rPr>
                <w:webHidden/>
              </w:rPr>
              <w:tab/>
            </w:r>
            <w:r w:rsidRPr="00D807DD">
              <w:rPr>
                <w:webHidden/>
              </w:rPr>
              <w:fldChar w:fldCharType="begin"/>
            </w:r>
            <w:r w:rsidRPr="00D807DD">
              <w:rPr>
                <w:webHidden/>
              </w:rPr>
              <w:instrText xml:space="preserve"> PAGEREF _Toc22885657 \h </w:instrText>
            </w:r>
            <w:r w:rsidRPr="00D807DD">
              <w:rPr>
                <w:webHidden/>
              </w:rPr>
            </w:r>
            <w:r w:rsidRPr="00D807DD">
              <w:rPr>
                <w:webHidden/>
              </w:rPr>
              <w:fldChar w:fldCharType="separate"/>
            </w:r>
            <w:r w:rsidRPr="00D807DD">
              <w:rPr>
                <w:webHidden/>
              </w:rPr>
              <w:t>3</w:t>
            </w:r>
            <w:r w:rsidRPr="00D807DD">
              <w:rPr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58" w:history="1">
            <w:r w:rsidRPr="009C06F9">
              <w:rPr>
                <w:rStyle w:val="Hyperlink"/>
                <w:noProof/>
              </w:rPr>
              <w:t>What Is the Commercial Driver’s License Drug and Alcohol Clearinghouse?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 w:rsidP="00D807DD">
          <w:pPr>
            <w:pStyle w:val="TOC1"/>
            <w:rPr>
              <w:rFonts w:eastAsiaTheme="minorEastAsia"/>
            </w:rPr>
          </w:pPr>
          <w:hyperlink w:anchor="_Toc22885659" w:history="1">
            <w:r w:rsidRPr="009C06F9">
              <w:rPr>
                <w:rStyle w:val="Hyperlink"/>
              </w:rPr>
              <w:t>Overview and Applicability of the Clearinghouse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_Toc22885659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61" w:history="1">
            <w:r w:rsidRPr="009C06F9">
              <w:rPr>
                <w:rStyle w:val="Hyperlink"/>
                <w:noProof/>
              </w:rPr>
              <w:t>Registering for the Clearinghouse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62" w:history="1">
            <w:r w:rsidRPr="009C06F9">
              <w:rPr>
                <w:rStyle w:val="Hyperlink"/>
                <w:noProof/>
              </w:rPr>
              <w:t>Information Contained Within the Clearinghouse Database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63" w:history="1">
            <w:r w:rsidRPr="009C06F9">
              <w:rPr>
                <w:rStyle w:val="Hyperlink"/>
                <w:noProof/>
              </w:rPr>
              <w:t>How the Clearinghouse Will Be 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 w:rsidP="00D807DD">
          <w:pPr>
            <w:pStyle w:val="TOC1"/>
            <w:rPr>
              <w:rFonts w:eastAsiaTheme="minorEastAsia"/>
            </w:rPr>
          </w:pPr>
          <w:hyperlink w:anchor="_Toc22885664" w:history="1">
            <w:r w:rsidRPr="009C06F9">
              <w:rPr>
                <w:rStyle w:val="Hyperlink"/>
              </w:rPr>
              <w:t>Compliance Considerations: Employers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_Toc22885664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65" w:history="1">
            <w:r w:rsidRPr="009C06F9">
              <w:rPr>
                <w:rStyle w:val="Hyperlink"/>
                <w:noProof/>
              </w:rPr>
              <w:t>Conducti</w:t>
            </w:r>
            <w:r w:rsidRPr="009C06F9">
              <w:rPr>
                <w:rStyle w:val="Hyperlink"/>
                <w:noProof/>
              </w:rPr>
              <w:t>ng a 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66" w:history="1">
            <w:r w:rsidRPr="009C06F9">
              <w:rPr>
                <w:rStyle w:val="Hyperlink"/>
                <w:noProof/>
              </w:rPr>
              <w:t>Reporting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77" w:history="1">
            <w:r w:rsidRPr="009C06F9">
              <w:rPr>
                <w:rStyle w:val="Hyperlink"/>
                <w:noProof/>
              </w:rPr>
              <w:t>Penalties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78" w:history="1">
            <w:r w:rsidRPr="009C06F9">
              <w:rPr>
                <w:rStyle w:val="Hyperlink"/>
                <w:noProof/>
              </w:rPr>
              <w:t>Driver Notification and Consent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79" w:history="1">
            <w:r w:rsidRPr="009C06F9">
              <w:rPr>
                <w:rStyle w:val="Hyperlink"/>
                <w:noProof/>
              </w:rPr>
              <w:t>Updating Programs and Policies on the Misuse of Alcohol and Controll</w:t>
            </w:r>
            <w:r w:rsidRPr="009C06F9">
              <w:rPr>
                <w:rStyle w:val="Hyperlink"/>
                <w:noProof/>
              </w:rPr>
              <w:t>ed Substances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80" w:history="1">
            <w:r w:rsidRPr="009C06F9">
              <w:rPr>
                <w:rStyle w:val="Hyperlink"/>
                <w:noProof/>
              </w:rPr>
              <w:t>Controlled Substance and Alcohol Testing Programs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81" w:history="1">
            <w:r w:rsidRPr="009C06F9">
              <w:rPr>
                <w:rStyle w:val="Hyperlink"/>
                <w:noProof/>
              </w:rPr>
              <w:t>Written Policies Related to Controlled Substance and Alcohol Misuse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 w:rsidP="00D807DD">
          <w:pPr>
            <w:pStyle w:val="TOC1"/>
            <w:rPr>
              <w:rFonts w:eastAsiaTheme="minorEastAsia"/>
            </w:rPr>
          </w:pPr>
          <w:hyperlink w:anchor="_Toc22885682" w:history="1">
            <w:r w:rsidRPr="009C06F9">
              <w:rPr>
                <w:rStyle w:val="Hyperlink"/>
              </w:rPr>
              <w:t>Co</w:t>
            </w:r>
            <w:r w:rsidRPr="009C06F9">
              <w:rPr>
                <w:rStyle w:val="Hyperlink"/>
              </w:rPr>
              <w:t>mpliance Considerations: Drivers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_Toc22885682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83" w:history="1">
            <w:r w:rsidRPr="009C06F9">
              <w:rPr>
                <w:rStyle w:val="Hyperlink"/>
                <w:noProof/>
              </w:rPr>
              <w:t>Types of Drivers Affected by the Clearinghouse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2885684" w:history="1">
            <w:r w:rsidRPr="009C06F9">
              <w:rPr>
                <w:rStyle w:val="Hyperlink"/>
                <w:noProof/>
              </w:rPr>
              <w:t>Data Privacy and Providing Consent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_Toc22885684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07DD" w:rsidRDefault="00532D40" w:rsidP="00D807DD">
          <w:pPr>
            <w:pStyle w:val="TOC1"/>
            <w:rPr>
              <w:rFonts w:eastAsiaTheme="minorEastAsia"/>
            </w:rPr>
          </w:pPr>
          <w:hyperlink w:anchor="_Toc22885685" w:history="1">
            <w:r w:rsidRPr="009C06F9">
              <w:rPr>
                <w:rStyle w:val="Hyperlink"/>
              </w:rPr>
              <w:t>Continued 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_Toc22885685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D807DD" w:rsidRDefault="00532D40" w:rsidP="00D807DD">
          <w:pPr>
            <w:pStyle w:val="TOC1"/>
            <w:rPr>
              <w:rFonts w:eastAsiaTheme="minorEastAsia"/>
            </w:rPr>
          </w:pPr>
          <w:hyperlink w:anchor="_Toc22885686" w:history="1">
            <w:r w:rsidRPr="009C06F9">
              <w:rPr>
                <w:rStyle w:val="Hyperlink"/>
              </w:rPr>
              <w:t>Clearinghouse FAQs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_Toc22885686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D807DD" w:rsidRDefault="00532D40">
          <w:r>
            <w:rPr>
              <w:b/>
              <w:bCs/>
              <w:noProof/>
            </w:rPr>
            <w:fldChar w:fldCharType="end"/>
          </w:r>
        </w:p>
      </w:sdtContent>
    </w:sdt>
    <w:p w:rsidR="00B74AFB" w:rsidRDefault="00B74AFB"/>
    <w:p w:rsidR="00170FA8" w:rsidRDefault="00170FA8"/>
    <w:p w:rsidR="00B74AFB" w:rsidRDefault="00532D40">
      <w:r w:rsidRPr="00D20304">
        <w:rPr>
          <w:rFonts w:asciiTheme="majorHAnsi" w:hAnsiTheme="majorHAnsi" w:cstheme="majorHAnsi"/>
          <w:b/>
          <w:noProof/>
          <w:color w:val="2F5496" w:themeColor="accent1" w:themeShade="BF"/>
          <w:sz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5099879</wp:posOffset>
                </wp:positionV>
                <wp:extent cx="5953125" cy="46101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331" w:rsidRPr="002D1331" w:rsidRDefault="00532D40" w:rsidP="002D1331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2D1331">
                              <w:rPr>
                                <w:color w:val="A6A6A6" w:themeColor="background1" w:themeShade="A6"/>
                                <w:sz w:val="20"/>
                              </w:rPr>
                              <w:t>This guide is not intended to be exhaustive nor should any discussion or opinions be construed as legal advice. Readers should contact legal counsel for legal advice. © 2019 Zywave, Inc. All rights reserved.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width:468.75pt;height:36.3pt;margin-top:401.55pt;margin-left:417.55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1728" filled="f" stroked="f">
                <v:textbox>
                  <w:txbxContent>
                    <w:p w:rsidR="002D1331" w:rsidRPr="002D1331" w:rsidP="002D1331" w14:paraId="43CECD36" w14:textId="03763235">
                      <w:pPr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2D1331">
                        <w:rPr>
                          <w:color w:val="A6A6A6" w:themeColor="background1" w:themeShade="A6"/>
                          <w:sz w:val="20"/>
                        </w:rPr>
                        <w:t xml:space="preserve">This guide is not intended to be exhaustive nor should any discussion or opinions be construed as legal advice. Readers should contact legal counsel for legal advice. © 2019 </w:t>
                      </w:r>
                      <w:r w:rsidRPr="002D1331">
                        <w:rPr>
                          <w:color w:val="A6A6A6" w:themeColor="background1" w:themeShade="A6"/>
                          <w:sz w:val="20"/>
                        </w:rPr>
                        <w:t>Zywave</w:t>
                      </w:r>
                      <w:r w:rsidRPr="002D1331">
                        <w:rPr>
                          <w:color w:val="A6A6A6" w:themeColor="background1" w:themeShade="A6"/>
                          <w:sz w:val="20"/>
                        </w:rPr>
                        <w:t>, Inc. All rights reserved.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5A66" w:rsidRDefault="009B5A66">
      <w:pPr>
        <w:sectPr w:rsidR="009B5A66" w:rsidSect="006451B6">
          <w:headerReference w:type="default" r:id="rId10"/>
          <w:footerReference w:type="default" r:id="rId11"/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6451B6" w:rsidRPr="00913F62" w:rsidRDefault="00532D40" w:rsidP="006451B6">
      <w:pPr>
        <w:pStyle w:val="Heading1"/>
      </w:pPr>
      <w:bookmarkStart w:id="1" w:name="_Toc22725967"/>
      <w:bookmarkStart w:id="2" w:name="_Toc22885657"/>
      <w:r w:rsidRPr="00913F62">
        <w:lastRenderedPageBreak/>
        <w:t>Intro</w:t>
      </w:r>
      <w:r w:rsidRPr="00913F62">
        <w:t>duction</w:t>
      </w:r>
      <w:bookmarkEnd w:id="1"/>
      <w:bookmarkEnd w:id="2"/>
    </w:p>
    <w:p w:rsidR="009B5A66" w:rsidRDefault="00532D40">
      <w:r>
        <w:t xml:space="preserve">The Federal Motor Carrier Safety Administration (FMCSA) and the businesses </w:t>
      </w:r>
      <w:r w:rsidR="007C6E38">
        <w:t xml:space="preserve">it </w:t>
      </w:r>
      <w:r>
        <w:t>govern</w:t>
      </w:r>
      <w:r w:rsidR="007C6E38">
        <w:t>s</w:t>
      </w:r>
      <w:r>
        <w:t xml:space="preserve"> have a responsibility to ensure the safety of those on the road.</w:t>
      </w:r>
      <w:r w:rsidR="007169D2">
        <w:t xml:space="preserve"> </w:t>
      </w:r>
      <w:r w:rsidR="00BA4285">
        <w:t xml:space="preserve">Above all, </w:t>
      </w:r>
      <w:r w:rsidR="00C9641C">
        <w:t xml:space="preserve">in order to prevent crashes and fatalities on public highways, </w:t>
      </w:r>
      <w:r w:rsidR="00BA4285">
        <w:t>the FMCSA expects motor carriers to hire</w:t>
      </w:r>
      <w:r w:rsidR="007A5BF4">
        <w:t xml:space="preserve"> </w:t>
      </w:r>
      <w:r w:rsidR="00BA4285">
        <w:t>qualified drivers</w:t>
      </w:r>
      <w:r w:rsidR="005457FF">
        <w:t xml:space="preserve"> who respect applicable commercial motor vehicle (CMV) legislation and proper operating procedures</w:t>
      </w:r>
      <w:r w:rsidR="00BA4285">
        <w:t>.</w:t>
      </w:r>
    </w:p>
    <w:p w:rsidR="005457FF" w:rsidRDefault="00532D40">
      <w:r>
        <w:t xml:space="preserve">As part of this commitment to safety, the FMCSA </w:t>
      </w:r>
      <w:r w:rsidR="001632C2">
        <w:t xml:space="preserve">focuses heavily on the misuse of drugs and alcohol—a major contributor to highway crashes and deaths. According to </w:t>
      </w:r>
      <w:r w:rsidR="001869E4">
        <w:t>the most recent data fr</w:t>
      </w:r>
      <w:r w:rsidR="00122AFA">
        <w:t>om the FMCSA, positive drug tests for drivers of large trucks involved in fatal crashes increased</w:t>
      </w:r>
      <w:r w:rsidR="001632C2">
        <w:t xml:space="preserve"> </w:t>
      </w:r>
      <w:r w:rsidR="00122AFA" w:rsidRPr="00763160">
        <w:t>48%</w:t>
      </w:r>
      <w:r w:rsidR="00122AFA">
        <w:t xml:space="preserve"> from 2015 to 2017. </w:t>
      </w:r>
    </w:p>
    <w:p w:rsidR="00DC17F2" w:rsidRDefault="00532D40">
      <w:r>
        <w:t xml:space="preserve">To help address concerns related to impaired driving and protect both commercial driver’s license (CDL) holders </w:t>
      </w:r>
      <w:r w:rsidR="000E200B">
        <w:t>and the</w:t>
      </w:r>
      <w:r>
        <w:t xml:space="preserve"> </w:t>
      </w:r>
      <w:r w:rsidR="000E200B">
        <w:t xml:space="preserve">individuals </w:t>
      </w:r>
      <w:r w:rsidR="007C6E38">
        <w:t xml:space="preserve">with whom </w:t>
      </w:r>
      <w:r w:rsidR="000E200B">
        <w:t>they share the road</w:t>
      </w:r>
      <w:r>
        <w:t xml:space="preserve">, the FMCSA </w:t>
      </w:r>
      <w:r w:rsidR="007C20CF">
        <w:t>established the CDL Drug and Alcohol Clearinghouse.</w:t>
      </w:r>
    </w:p>
    <w:p w:rsidR="007C20CF" w:rsidRPr="007C20CF" w:rsidRDefault="00532D40" w:rsidP="000E200B">
      <w:pPr>
        <w:pStyle w:val="Heading2"/>
        <w:rPr>
          <w:b w:val="0"/>
        </w:rPr>
      </w:pPr>
      <w:bookmarkStart w:id="3" w:name="_Toc19637434"/>
      <w:bookmarkStart w:id="4" w:name="_Toc22885658"/>
      <w:r w:rsidRPr="007C20CF">
        <w:t xml:space="preserve">What Is the </w:t>
      </w:r>
      <w:r w:rsidR="0004477D">
        <w:t xml:space="preserve">Commercial Driver’s License </w:t>
      </w:r>
      <w:r w:rsidRPr="007C20CF">
        <w:t>Drug and Alcohol Clearinghouse?</w:t>
      </w:r>
      <w:bookmarkEnd w:id="3"/>
      <w:bookmarkEnd w:id="4"/>
    </w:p>
    <w:p w:rsidR="000E200B" w:rsidRDefault="00532D40" w:rsidP="007C20CF">
      <w:r>
        <w:t xml:space="preserve">On Dec. 5, 2016, the FMCSA issued a </w:t>
      </w:r>
      <w:hyperlink r:id="rId12" w:history="1">
        <w:r w:rsidRPr="00333527">
          <w:rPr>
            <w:rStyle w:val="Hyperlink"/>
          </w:rPr>
          <w:t>final rule</w:t>
        </w:r>
      </w:hyperlink>
      <w:r>
        <w:t xml:space="preserve"> that establ</w:t>
      </w:r>
      <w:r>
        <w:t xml:space="preserve">ished a National Drug and Alcohol Clearinghouse. </w:t>
      </w:r>
      <w:r w:rsidR="007C20CF">
        <w:t>The Clearinghouse is a secure online database that gives employers, the FMCSA, state driver licensing agencies and law enforcement personnel real-time access to important information about a CDL holder’s drug and alcohol program violations.</w:t>
      </w:r>
      <w:r w:rsidR="00826D43">
        <w:t xml:space="preserve"> </w:t>
      </w:r>
    </w:p>
    <w:p w:rsidR="00F938F5" w:rsidRDefault="00532D40" w:rsidP="00B326B1">
      <w:r>
        <w:t>Effective</w:t>
      </w:r>
      <w:r w:rsidR="007C20CF">
        <w:t xml:space="preserve"> Jan. 6, 2020, motor carriers </w:t>
      </w:r>
      <w:r>
        <w:t>must</w:t>
      </w:r>
      <w:r w:rsidR="007C20CF">
        <w:t xml:space="preserve"> use the Clearinghouse to check </w:t>
      </w:r>
      <w:r>
        <w:t>a</w:t>
      </w:r>
      <w:r w:rsidR="007C20CF">
        <w:t xml:space="preserve"> current employee’s status at least once per year</w:t>
      </w:r>
      <w:r w:rsidR="000F002B">
        <w:t>, review violations and ensur</w:t>
      </w:r>
      <w:r w:rsidR="007C6E38">
        <w:t>e</w:t>
      </w:r>
      <w:r w:rsidR="000F002B">
        <w:t xml:space="preserve"> drivers are eligible to operate a CMV</w:t>
      </w:r>
      <w:r w:rsidR="007C20CF">
        <w:t>.</w:t>
      </w:r>
      <w:r w:rsidR="00333527">
        <w:t>*</w:t>
      </w:r>
      <w:r w:rsidR="000E200B">
        <w:t xml:space="preserve"> While the Clearinghouse </w:t>
      </w:r>
      <w:r w:rsidR="007C6E38">
        <w:t xml:space="preserve">does </w:t>
      </w:r>
      <w:r w:rsidR="00B326B1" w:rsidRPr="00B326B1">
        <w:t xml:space="preserve">not </w:t>
      </w:r>
      <w:r w:rsidR="0061288C">
        <w:t>alter</w:t>
      </w:r>
      <w:r w:rsidR="00B326B1" w:rsidRPr="00B326B1">
        <w:t xml:space="preserve"> existing</w:t>
      </w:r>
      <w:r w:rsidR="0061288C">
        <w:t xml:space="preserve"> drug and alcohol testing</w:t>
      </w:r>
      <w:r w:rsidR="00B326B1" w:rsidRPr="00B326B1">
        <w:t xml:space="preserve"> requirements</w:t>
      </w:r>
      <w:r w:rsidR="0061288C">
        <w:t xml:space="preserve">, </w:t>
      </w:r>
      <w:r w:rsidR="004A26C7">
        <w:t>it</w:t>
      </w:r>
      <w:r w:rsidR="008A785D">
        <w:t xml:space="preserve"> will likely have a significant impact on internal processes and the way motor carriers onboard new driver</w:t>
      </w:r>
      <w:r>
        <w:t>s</w:t>
      </w:r>
      <w:r w:rsidR="008A785D" w:rsidRPr="00B326B1">
        <w:t>.</w:t>
      </w:r>
      <w:r w:rsidR="008A785D">
        <w:t xml:space="preserve"> In addition, </w:t>
      </w:r>
      <w:r w:rsidR="0061288C">
        <w:t>there are very specific steps motor carriers need to follow in order to comply with the final rule</w:t>
      </w:r>
      <w:r w:rsidR="00F731C5">
        <w:t xml:space="preserve">, </w:t>
      </w:r>
      <w:r w:rsidR="008A785D">
        <w:t xml:space="preserve">meet reporting requirements, </w:t>
      </w:r>
      <w:r w:rsidR="0061288C">
        <w:t>avoid violating privacy</w:t>
      </w:r>
      <w:r w:rsidR="00F731C5">
        <w:t xml:space="preserve"> laws</w:t>
      </w:r>
      <w:r w:rsidR="0061288C">
        <w:t xml:space="preserve"> and </w:t>
      </w:r>
      <w:r w:rsidR="00F731C5">
        <w:t>protect themselves from substantial</w:t>
      </w:r>
      <w:r w:rsidR="0061288C">
        <w:t xml:space="preserve"> penalties.</w:t>
      </w:r>
    </w:p>
    <w:p w:rsidR="008A785D" w:rsidRDefault="00532D40" w:rsidP="00B326B1">
      <w:r>
        <w:t xml:space="preserve">This guide is designed to help motor carriers of all sizes better understand their Clearinghouse compliance </w:t>
      </w:r>
      <w:r>
        <w:t>burden. It includes specifics about the Clearinghouse process and ways employers</w:t>
      </w:r>
      <w:r w:rsidR="00261358">
        <w:t xml:space="preserve"> can</w:t>
      </w:r>
      <w:r>
        <w:t xml:space="preserve"> </w:t>
      </w:r>
      <w:r w:rsidR="0057701D">
        <w:t>meet the legal standards set by the FMCSA.</w:t>
      </w:r>
    </w:p>
    <w:p w:rsidR="00F731C5" w:rsidRDefault="00F731C5" w:rsidP="00B326B1"/>
    <w:p w:rsidR="00F731C5" w:rsidRDefault="00532D40" w:rsidP="00B326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1419694</wp:posOffset>
                </wp:positionV>
                <wp:extent cx="5946775" cy="15982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59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B05" w:rsidRPr="004D7E22" w:rsidRDefault="00532D40">
                            <w:pPr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4D7E22">
                              <w:rPr>
                                <w:b/>
                                <w:color w:val="808080" w:themeColor="background1" w:themeShade="80"/>
                                <w:sz w:val="20"/>
                              </w:rPr>
                              <w:t>*Note: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The FMCSA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has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extend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ed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the compliance date for state licensing authorities. With the extension, states must query the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Clearinghouse before completing certain commercial driver's license transactions by Jan. 6 2023 (original compliance deadline was Jan. 6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,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2020). This proposed delay will give the FMCSA more time to clarify rules related to the way state driver licensing a</w:t>
                            </w:r>
                            <w:r w:rsidRPr="004D7E22">
                              <w:rPr>
                                <w:color w:val="808080" w:themeColor="background1" w:themeShade="80"/>
                                <w:sz w:val="20"/>
                              </w:rPr>
                              <w:t>gencies access and use driver-specific information found in the Clearinghouse.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Pr="00F21071">
                              <w:rPr>
                                <w:color w:val="808080" w:themeColor="background1" w:themeShade="80"/>
                                <w:sz w:val="20"/>
                              </w:rPr>
                              <w:t>The original Jan. 6, 2020 compliance date will remain in place for all other requirements spelled out in the Clearinghouse rule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468.25pt;height:44.9pt;margin-top:111.8pt;margin-left:417.05pt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0288" filled="f" stroked="f">
                <v:textbox style="mso-fit-shape-to-text:t">
                  <w:txbxContent>
                    <w:p w:rsidR="00F82B05" w:rsidRPr="004D7E22" w14:paraId="04E2700A" w14:textId="0467B5ED">
                      <w:pPr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4D7E22">
                        <w:rPr>
                          <w:b/>
                          <w:color w:val="808080" w:themeColor="background1" w:themeShade="80"/>
                          <w:sz w:val="20"/>
                        </w:rPr>
                        <w:t>*Note:</w:t>
                      </w:r>
                      <w:r w:rsidRPr="004D7E22">
                        <w:rPr>
                          <w:color w:val="808080" w:themeColor="background1" w:themeShade="80"/>
                          <w:sz w:val="20"/>
                        </w:rPr>
                        <w:t xml:space="preserve"> The FMCSA </w:t>
                      </w:r>
                      <w:r>
                        <w:rPr>
                          <w:color w:val="808080" w:themeColor="background1" w:themeShade="80"/>
                          <w:sz w:val="20"/>
                        </w:rPr>
                        <w:t>has</w:t>
                      </w:r>
                      <w:r w:rsidRPr="004D7E22">
                        <w:rPr>
                          <w:color w:val="808080" w:themeColor="background1" w:themeShade="80"/>
                          <w:sz w:val="20"/>
                        </w:rPr>
                        <w:t xml:space="preserve"> extend</w:t>
                      </w:r>
                      <w:r>
                        <w:rPr>
                          <w:color w:val="808080" w:themeColor="background1" w:themeShade="80"/>
                          <w:sz w:val="20"/>
                        </w:rPr>
                        <w:t>ed</w:t>
                      </w:r>
                      <w:r w:rsidRPr="004D7E22">
                        <w:rPr>
                          <w:color w:val="808080" w:themeColor="background1" w:themeShade="80"/>
                          <w:sz w:val="20"/>
                        </w:rPr>
                        <w:t xml:space="preserve"> the compliance date for state licensing authorities. With the extension, states must query the Clearinghouse before completing certain commercial driver's license transactions by Jan. 6 2023 (original compliance deadline was Jan. 6</w:t>
                      </w:r>
                      <w:r>
                        <w:rPr>
                          <w:color w:val="808080" w:themeColor="background1" w:themeShade="80"/>
                          <w:sz w:val="20"/>
                        </w:rPr>
                        <w:t>,</w:t>
                      </w:r>
                      <w:r w:rsidRPr="004D7E22">
                        <w:rPr>
                          <w:color w:val="808080" w:themeColor="background1" w:themeShade="80"/>
                          <w:sz w:val="20"/>
                        </w:rPr>
                        <w:t xml:space="preserve"> 2020). This proposed delay will give the FMCSA more time to clarify rules related to the way state driver licensing agencies access and use driver-specific information found in the Clearinghouse.</w:t>
                      </w:r>
                      <w:r>
                        <w:rPr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Pr="00F21071">
                        <w:rPr>
                          <w:color w:val="808080" w:themeColor="background1" w:themeShade="80"/>
                          <w:sz w:val="20"/>
                        </w:rPr>
                        <w:t>The original Jan. 6, 2020 compliance date will remain in place for all other requirements spelled out in the Clearinghouse rule</w:t>
                      </w:r>
                      <w:r>
                        <w:rPr>
                          <w:color w:val="808080" w:themeColor="background1" w:themeShade="80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31C5" w:rsidRDefault="00F731C5" w:rsidP="00B326B1">
      <w:pPr>
        <w:sectPr w:rsidR="00F731C5" w:rsidSect="002410D3"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6451B6" w:rsidRDefault="00532D40" w:rsidP="006451B6">
      <w:pPr>
        <w:pStyle w:val="Heading1"/>
      </w:pPr>
      <w:bookmarkStart w:id="5" w:name="_Toc19637435"/>
      <w:bookmarkStart w:id="6" w:name="_Toc22725968"/>
      <w:bookmarkStart w:id="7" w:name="_Toc22885659"/>
      <w:r>
        <w:lastRenderedPageBreak/>
        <w:t>Overview and Applicability of the Clea</w:t>
      </w:r>
      <w:r>
        <w:t>ringhouse</w:t>
      </w:r>
      <w:bookmarkEnd w:id="5"/>
      <w:bookmarkEnd w:id="6"/>
      <w:bookmarkEnd w:id="7"/>
    </w:p>
    <w:p w:rsidR="002B6BC2" w:rsidRDefault="00532D40" w:rsidP="00CD5EEB">
      <w:r>
        <w:t>Again, the Clearinghouse is an online database established by the FMCSA. It gives key stakeholders</w:t>
      </w:r>
      <w:r w:rsidR="0080548F">
        <w:t>—motor carriers, CDL drivers, medical review officers, substance abuse professionals (SAPs), consortium</w:t>
      </w:r>
      <w:r w:rsidR="00C76573">
        <w:t xml:space="preserve">/third-party </w:t>
      </w:r>
      <w:r w:rsidR="0080548F">
        <w:t>administrators</w:t>
      </w:r>
      <w:r w:rsidR="00156A32">
        <w:t xml:space="preserve"> (sometimes referred to as service agents)</w:t>
      </w:r>
      <w:r w:rsidR="0080548F">
        <w:t xml:space="preserve"> and state driver licensing agencies—</w:t>
      </w:r>
      <w:r w:rsidR="00CD5EEB">
        <w:t>the ability to search a CDL holder’s drug and alcohol violations</w:t>
      </w:r>
      <w:r w:rsidR="0080548F">
        <w:t>. This</w:t>
      </w:r>
      <w:r w:rsidR="00CD5EEB">
        <w:t xml:space="preserve">, in turn, helps carriers </w:t>
      </w:r>
      <w:r w:rsidR="00DA26CB">
        <w:t xml:space="preserve">and other parties </w:t>
      </w:r>
      <w:r w:rsidR="00CD5EEB">
        <w:t>identify drivers who are prohibited from operating CMVs due to drug and alcohol violations and refusals to test.</w:t>
      </w:r>
    </w:p>
    <w:p w:rsidR="0080548F" w:rsidRDefault="00532D40" w:rsidP="00D7500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21888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01413" name="major benefit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3F3" w:rsidRDefault="009273F3" w:rsidP="00D75008"/>
    <w:p w:rsidR="009273F3" w:rsidRDefault="009273F3" w:rsidP="00D75008"/>
    <w:p w:rsidR="009273F3" w:rsidRDefault="009273F3" w:rsidP="00D75008"/>
    <w:p w:rsidR="009273F3" w:rsidRDefault="009273F3" w:rsidP="00D75008"/>
    <w:p w:rsidR="009273F3" w:rsidRDefault="009273F3" w:rsidP="00D75008"/>
    <w:p w:rsidR="009273F3" w:rsidRDefault="009273F3" w:rsidP="00D75008"/>
    <w:p w:rsidR="009273F3" w:rsidRDefault="009273F3" w:rsidP="00D75008"/>
    <w:p w:rsidR="00DA26CB" w:rsidRDefault="00532D40" w:rsidP="00D75008">
      <w:r w:rsidRPr="00826D43">
        <w:t xml:space="preserve">Under the final rule, motor carriers and other employers of </w:t>
      </w:r>
      <w:r>
        <w:t>CMV</w:t>
      </w:r>
      <w:r w:rsidRPr="00826D43">
        <w:t xml:space="preserve"> drivers must use the Clearinghouse to ensure that current and prospective employees do not have any unresolved drug and alcohol violations </w:t>
      </w:r>
      <w:r>
        <w:t xml:space="preserve">that affect </w:t>
      </w:r>
      <w:r>
        <w:t>their driving eligibility</w:t>
      </w:r>
      <w:r w:rsidRPr="00826D43">
        <w:t>. Employers will also be required to report information about positive drug test results, alcohol test results greater than</w:t>
      </w:r>
      <w:r w:rsidR="004F552F">
        <w:t xml:space="preserve"> a</w:t>
      </w:r>
      <w:r w:rsidRPr="00826D43">
        <w:t xml:space="preserve"> 0.04 blood alcohol content, refusals to test and other </w:t>
      </w:r>
      <w:r w:rsidRPr="00763160">
        <w:t>non</w:t>
      </w:r>
      <w:r w:rsidR="00C76573" w:rsidRPr="00763160">
        <w:t>-</w:t>
      </w:r>
      <w:r w:rsidRPr="00826D43">
        <w:t xml:space="preserve">test violations of FMCSA’s drug and </w:t>
      </w:r>
      <w:r w:rsidRPr="00826D43">
        <w:t>alcohol regulations.</w:t>
      </w:r>
    </w:p>
    <w:p w:rsidR="006F67A7" w:rsidRDefault="00532D40" w:rsidP="00D75008">
      <w:r>
        <w:t>Stakeholders</w:t>
      </w:r>
      <w:r w:rsidRPr="006F67A7">
        <w:t xml:space="preserve"> </w:t>
      </w:r>
      <w:r w:rsidR="00333527">
        <w:t>must</w:t>
      </w:r>
      <w:r w:rsidR="00C76573">
        <w:t xml:space="preserve"> </w:t>
      </w:r>
      <w:hyperlink r:id="rId14" w:history="1">
        <w:r w:rsidRPr="00333527">
          <w:rPr>
            <w:rStyle w:val="Hyperlink"/>
          </w:rPr>
          <w:t>register</w:t>
        </w:r>
      </w:hyperlink>
      <w:r w:rsidR="00C76573">
        <w:t xml:space="preserve"> in</w:t>
      </w:r>
      <w:r>
        <w:t xml:space="preserve"> order to </w:t>
      </w:r>
      <w:r w:rsidRPr="006F67A7">
        <w:t xml:space="preserve">access the </w:t>
      </w:r>
      <w:r>
        <w:t xml:space="preserve">Clearinghouse </w:t>
      </w:r>
      <w:r w:rsidRPr="006F67A7">
        <w:t xml:space="preserve">database. </w:t>
      </w:r>
      <w:r w:rsidR="00CF254F">
        <w:t>The timeline below outlines other key dates</w:t>
      </w:r>
      <w:r w:rsidR="008C5DA6">
        <w:t>:</w:t>
      </w:r>
    </w:p>
    <w:p w:rsidR="00461E82" w:rsidRDefault="00532D40" w:rsidP="003577AB">
      <w:pPr>
        <w:pStyle w:val="Heading2"/>
      </w:pPr>
      <w:bookmarkStart w:id="8" w:name="_Toc2288566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1693</wp:posOffset>
            </wp:positionV>
            <wp:extent cx="5940564" cy="4681738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85883" name="time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4681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461E82" w:rsidRDefault="00461E82" w:rsidP="003577AB">
      <w:pPr>
        <w:pStyle w:val="Heading2"/>
      </w:pPr>
    </w:p>
    <w:p w:rsidR="003577AB" w:rsidRDefault="00532D40" w:rsidP="003577AB">
      <w:pPr>
        <w:pStyle w:val="Heading2"/>
      </w:pPr>
      <w:bookmarkStart w:id="9" w:name="_Toc22885661"/>
      <w:r>
        <w:t xml:space="preserve">Registering for the </w:t>
      </w:r>
      <w:r>
        <w:t>Clearinghouse</w:t>
      </w:r>
      <w:bookmarkEnd w:id="9"/>
    </w:p>
    <w:p w:rsidR="00FE3C0F" w:rsidRDefault="00532D40" w:rsidP="003577AB">
      <w:r>
        <w:t>Again, e</w:t>
      </w:r>
      <w:r w:rsidR="003577AB">
        <w:t xml:space="preserve">mployers, drivers, medical review officers, SAPs and service agents must </w:t>
      </w:r>
      <w:r w:rsidR="003577AB" w:rsidRPr="003577AB">
        <w:t xml:space="preserve">register in </w:t>
      </w:r>
      <w:r w:rsidR="003577AB">
        <w:t>order to access the Clearinghouse</w:t>
      </w:r>
      <w:r>
        <w:t xml:space="preserve"> information</w:t>
      </w:r>
      <w:r w:rsidR="003577AB">
        <w:t xml:space="preserve">. </w:t>
      </w:r>
      <w:r>
        <w:t xml:space="preserve">To register, stakeholders will need a login.gov account. </w:t>
      </w:r>
    </w:p>
    <w:p w:rsidR="003577AB" w:rsidRDefault="00532D40" w:rsidP="003577AB">
      <w:r>
        <w:t>Use the applicable links below to complete t</w:t>
      </w:r>
      <w:r>
        <w:t>he registration process:</w:t>
      </w:r>
    </w:p>
    <w:p w:rsidR="00FE3C0F" w:rsidRDefault="00532D40" w:rsidP="00FE3C0F">
      <w:pPr>
        <w:pStyle w:val="ListParagraph"/>
        <w:numPr>
          <w:ilvl w:val="0"/>
          <w:numId w:val="24"/>
        </w:numPr>
        <w:spacing w:after="120"/>
        <w:contextualSpacing w:val="0"/>
      </w:pPr>
      <w:r>
        <w:t xml:space="preserve">If you have a login.gov account and want to begin the registration process, click </w:t>
      </w:r>
      <w:hyperlink r:id="rId16" w:history="1">
        <w:r w:rsidRPr="00FE3C0F">
          <w:rPr>
            <w:rStyle w:val="Hyperlink"/>
          </w:rPr>
          <w:t>here</w:t>
        </w:r>
      </w:hyperlink>
      <w:r>
        <w:t>.</w:t>
      </w:r>
    </w:p>
    <w:p w:rsidR="00FE3C0F" w:rsidRPr="003577AB" w:rsidRDefault="00532D40" w:rsidP="00FE3C0F">
      <w:pPr>
        <w:pStyle w:val="ListParagraph"/>
        <w:numPr>
          <w:ilvl w:val="0"/>
          <w:numId w:val="24"/>
        </w:numPr>
        <w:spacing w:after="120"/>
        <w:contextualSpacing w:val="0"/>
      </w:pPr>
      <w:r>
        <w:t>If you don’t have a login.gov account and wish to cre</w:t>
      </w:r>
      <w:r>
        <w:t xml:space="preserve">ate one, click </w:t>
      </w:r>
      <w:hyperlink r:id="rId17" w:history="1">
        <w:r w:rsidRPr="00FE3C0F">
          <w:rPr>
            <w:rStyle w:val="Hyperlink"/>
          </w:rPr>
          <w:t>here</w:t>
        </w:r>
      </w:hyperlink>
      <w:r>
        <w:t xml:space="preserve">. </w:t>
      </w:r>
    </w:p>
    <w:p w:rsidR="0006059D" w:rsidRDefault="00532D40" w:rsidP="00297660">
      <w:pPr>
        <w:pStyle w:val="Heading2"/>
      </w:pPr>
      <w:bookmarkStart w:id="10" w:name="_Toc19637436"/>
      <w:bookmarkStart w:id="11" w:name="_Toc22885662"/>
      <w:r>
        <w:t>Information Contained Within the Clearinghouse Database</w:t>
      </w:r>
      <w:bookmarkEnd w:id="10"/>
      <w:bookmarkEnd w:id="11"/>
    </w:p>
    <w:p w:rsidR="00413CF9" w:rsidRDefault="00532D40" w:rsidP="00D75008">
      <w:r>
        <w:t>T</w:t>
      </w:r>
      <w:r w:rsidR="00D75008">
        <w:t xml:space="preserve">he Clearinghouse contains information about </w:t>
      </w:r>
      <w:r w:rsidR="00B04DE0">
        <w:t>those</w:t>
      </w:r>
      <w:r w:rsidR="00D75008">
        <w:t xml:space="preserve"> covered by</w:t>
      </w:r>
      <w:r w:rsidR="0091218D">
        <w:t xml:space="preserve"> the</w:t>
      </w:r>
      <w:r w:rsidR="00D75008">
        <w:t xml:space="preserve"> FMCSA’s drug and alcohol program. </w:t>
      </w:r>
      <w:r w:rsidR="00B04DE0" w:rsidRPr="00B04DE0">
        <w:t xml:space="preserve">In general, </w:t>
      </w:r>
      <w:r w:rsidR="00B04DE0">
        <w:t>th</w:t>
      </w:r>
      <w:r>
        <w:t xml:space="preserve">e program </w:t>
      </w:r>
      <w:r w:rsidR="00B04DE0">
        <w:t xml:space="preserve">applies to all drivers who operate CMVs subject to the CDL requirements and perform safety-sensitive functions. </w:t>
      </w:r>
      <w:r w:rsidR="00B04DE0" w:rsidRPr="00B04DE0">
        <w:t xml:space="preserve">As such, </w:t>
      </w:r>
      <w:r w:rsidR="00E00BC1">
        <w:t>the Clearinghouse</w:t>
      </w:r>
      <w:r w:rsidR="00B04DE0" w:rsidRPr="00B04DE0">
        <w:t xml:space="preserve"> affect</w:t>
      </w:r>
      <w:r w:rsidR="00E00BC1">
        <w:t>s</w:t>
      </w:r>
      <w:r w:rsidR="00B04DE0" w:rsidRPr="00B04DE0">
        <w:t xml:space="preserve"> the majority of full-time, part-</w:t>
      </w:r>
      <w:r w:rsidR="00B04DE0" w:rsidRPr="00B04DE0">
        <w:lastRenderedPageBreak/>
        <w:t>time, intermittent, backup and international drivers</w:t>
      </w:r>
      <w:r w:rsidR="00E00BC1">
        <w:t>. It also contains information on drivers with commercial learner’s permits (CLPs).</w:t>
      </w:r>
    </w:p>
    <w:p w:rsidR="00E13D57" w:rsidRDefault="00532D40" w:rsidP="0080548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943600" cy="12744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76353" name="FMCSA quo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D57" w:rsidRDefault="00E13D57" w:rsidP="0080548F"/>
    <w:p w:rsidR="00E13D57" w:rsidRDefault="00E13D57" w:rsidP="0080548F"/>
    <w:p w:rsidR="00E13D57" w:rsidRDefault="00E13D57" w:rsidP="0080548F"/>
    <w:p w:rsidR="00E13D57" w:rsidRDefault="00E13D57" w:rsidP="0080548F"/>
    <w:p w:rsidR="0080548F" w:rsidRDefault="00532D40" w:rsidP="0080548F">
      <w:r>
        <w:t xml:space="preserve">Information contained in the Clearinghouse will relate </w:t>
      </w:r>
      <w:r w:rsidR="00297660">
        <w:t xml:space="preserve">to violations of </w:t>
      </w:r>
      <w:hyperlink r:id="rId19" w:anchor="sp49.5.382.b&quot; t " w:history="1">
        <w:r w:rsidR="00297660">
          <w:rPr>
            <w:rStyle w:val="Hyperlink"/>
          </w:rPr>
          <w:t>49 CFR Part 382, Subpart B</w:t>
        </w:r>
      </w:hyperlink>
      <w:r w:rsidR="00297660">
        <w:t xml:space="preserve"> </w:t>
      </w:r>
      <w:r w:rsidR="00866E81">
        <w:t xml:space="preserve">that occur on or after the implementation date of Jan. 6, 2020. These </w:t>
      </w:r>
      <w:r w:rsidR="00297660">
        <w:t>includ</w:t>
      </w:r>
      <w:r w:rsidR="00866E81">
        <w:t>e</w:t>
      </w:r>
      <w:r w:rsidR="00297660">
        <w:t xml:space="preserve">, but </w:t>
      </w:r>
      <w:r w:rsidR="00866E81">
        <w:t xml:space="preserve">are </w:t>
      </w:r>
      <w:r w:rsidR="00297660">
        <w:t>not limited to, the following types of infractions</w:t>
      </w:r>
      <w:r>
        <w:t>:</w:t>
      </w:r>
    </w:p>
    <w:p w:rsidR="008C5DA6" w:rsidRPr="00474544" w:rsidRDefault="00532D40" w:rsidP="008C5DA6">
      <w:pPr>
        <w:pStyle w:val="ListParagraph"/>
        <w:numPr>
          <w:ilvl w:val="0"/>
          <w:numId w:val="2"/>
        </w:numPr>
        <w:spacing w:after="120"/>
        <w:contextualSpacing w:val="0"/>
      </w:pPr>
      <w:r w:rsidRPr="00474544">
        <w:t xml:space="preserve">A driver reports for </w:t>
      </w:r>
      <w:r w:rsidR="00BE2866">
        <w:t xml:space="preserve">or </w:t>
      </w:r>
      <w:r w:rsidRPr="00474544">
        <w:t xml:space="preserve">remains on duty </w:t>
      </w:r>
      <w:r w:rsidR="00585695">
        <w:t xml:space="preserve">for a </w:t>
      </w:r>
      <w:r w:rsidRPr="00474544">
        <w:t>safety-sensitive function with a</w:t>
      </w:r>
      <w:r w:rsidR="00291D90">
        <w:t>n</w:t>
      </w:r>
      <w:r w:rsidRPr="00474544">
        <w:t xml:space="preserve"> alcohol concentration of 0.04 or greater or while using any d</w:t>
      </w:r>
      <w:r w:rsidRPr="00474544">
        <w:t xml:space="preserve">rug specified in </w:t>
      </w:r>
      <w:hyperlink r:id="rId20" w:history="1">
        <w:r w:rsidR="00567C84" w:rsidRPr="00474544">
          <w:rPr>
            <w:rStyle w:val="Hyperlink"/>
          </w:rPr>
          <w:t>49 CFR part 40</w:t>
        </w:r>
      </w:hyperlink>
      <w:r w:rsidRPr="00474544">
        <w:t>.</w:t>
      </w:r>
    </w:p>
    <w:p w:rsidR="0080548F" w:rsidRDefault="00532D40" w:rsidP="0080548F">
      <w:pPr>
        <w:pStyle w:val="ListParagraph"/>
        <w:numPr>
          <w:ilvl w:val="0"/>
          <w:numId w:val="2"/>
        </w:numPr>
        <w:spacing w:after="120"/>
        <w:contextualSpacing w:val="0"/>
      </w:pPr>
      <w:r>
        <w:t>A driver consumes alcohol while performing (or within four hours of performing) a safety-sensitive function.</w:t>
      </w:r>
    </w:p>
    <w:p w:rsidR="0080548F" w:rsidRDefault="00532D40" w:rsidP="0080548F">
      <w:pPr>
        <w:pStyle w:val="ListParagraph"/>
        <w:numPr>
          <w:ilvl w:val="0"/>
          <w:numId w:val="2"/>
        </w:numPr>
        <w:spacing w:after="120"/>
        <w:contextualSpacing w:val="0"/>
      </w:pPr>
      <w:r>
        <w:t>A driver consumes alcohol wit</w:t>
      </w:r>
      <w:r>
        <w:t>hin eight hours of an accident or post-accident test.</w:t>
      </w:r>
    </w:p>
    <w:p w:rsidR="0080548F" w:rsidRDefault="00532D40" w:rsidP="0080548F">
      <w:pPr>
        <w:pStyle w:val="ListParagraph"/>
        <w:numPr>
          <w:ilvl w:val="0"/>
          <w:numId w:val="2"/>
        </w:numPr>
        <w:spacing w:after="120"/>
        <w:contextualSpacing w:val="0"/>
      </w:pPr>
      <w:r>
        <w:t>A driver tests positive for a controlled substance.</w:t>
      </w:r>
    </w:p>
    <w:p w:rsidR="000E5327" w:rsidRDefault="00532D40" w:rsidP="0080548F">
      <w:pPr>
        <w:pStyle w:val="ListParagraph"/>
        <w:numPr>
          <w:ilvl w:val="0"/>
          <w:numId w:val="2"/>
        </w:numPr>
        <w:spacing w:after="120"/>
        <w:contextualSpacing w:val="0"/>
      </w:pPr>
      <w:r>
        <w:t>A driver r</w:t>
      </w:r>
      <w:r w:rsidR="0080548F">
        <w:t>efus</w:t>
      </w:r>
      <w:r>
        <w:t>es</w:t>
      </w:r>
      <w:r w:rsidR="0080548F">
        <w:t xml:space="preserve"> to submit to a required alcohol or drug test</w:t>
      </w:r>
      <w:r>
        <w:t>.</w:t>
      </w:r>
    </w:p>
    <w:p w:rsidR="00E63077" w:rsidRDefault="00532D40" w:rsidP="00E11AB8">
      <w:pPr>
        <w:spacing w:after="120"/>
      </w:pPr>
      <w:r>
        <w:t>In addition, the Clearinghouse will record w</w:t>
      </w:r>
      <w:r w:rsidRPr="00E11AB8">
        <w:t>hen a driver completes the return-to-duty (</w:t>
      </w:r>
      <w:r w:rsidRPr="00E11AB8">
        <w:t>RTD) process and follow-up testing</w:t>
      </w:r>
      <w:r>
        <w:t xml:space="preserve">. </w:t>
      </w:r>
    </w:p>
    <w:p w:rsidR="00271B08" w:rsidRDefault="00532D40" w:rsidP="00E11AB8">
      <w:pPr>
        <w:spacing w:after="12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6774</wp:posOffset>
            </wp:positionV>
            <wp:extent cx="5943600" cy="4008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99846" name="general overvi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13D57" w:rsidRDefault="00E13D57" w:rsidP="00E11AB8">
      <w:pPr>
        <w:spacing w:after="120"/>
      </w:pPr>
    </w:p>
    <w:p w:rsidR="00E63077" w:rsidRDefault="00532D40" w:rsidP="00E63077">
      <w:pPr>
        <w:spacing w:after="120"/>
      </w:pPr>
      <w:r>
        <w:lastRenderedPageBreak/>
        <w:t xml:space="preserve">Violation data found within the Clearinghouse will be denoted by a driver’s CDL </w:t>
      </w:r>
      <w:r w:rsidR="006668BB">
        <w:t xml:space="preserve">number </w:t>
      </w:r>
      <w:r>
        <w:t xml:space="preserve">and date of birth. Moreover, the Clearinghouse is designed to interface with the Commercial </w:t>
      </w:r>
      <w:r w:rsidRPr="00763160">
        <w:t>Driver</w:t>
      </w:r>
      <w:r>
        <w:t>’s License Information System (CDLIS). This makes the system more difficult to cheat and allows stakeholders to track a driver’s drug and alcohol violations e</w:t>
      </w:r>
      <w:r>
        <w:t>ven if the</w:t>
      </w:r>
      <w:r w:rsidR="00E64181">
        <w:t xml:space="preserve"> driver</w:t>
      </w:r>
      <w:r>
        <w:t xml:space="preserve"> change</w:t>
      </w:r>
      <w:r w:rsidR="00E64181">
        <w:t>s</w:t>
      </w:r>
      <w:r>
        <w:t xml:space="preserve"> jobs or appl</w:t>
      </w:r>
      <w:r w:rsidR="00E64181">
        <w:t>ies</w:t>
      </w:r>
      <w:r>
        <w:t xml:space="preserve"> for a CDL in a different state.</w:t>
      </w:r>
    </w:p>
    <w:p w:rsidR="00793BD9" w:rsidRPr="008C5DA6" w:rsidRDefault="00532D40" w:rsidP="00793BD9">
      <w:pPr>
        <w:spacing w:after="12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-53340</wp:posOffset>
            </wp:positionH>
            <wp:positionV relativeFrom="page">
              <wp:posOffset>2149475</wp:posOffset>
            </wp:positionV>
            <wp:extent cx="5943600" cy="3781425"/>
            <wp:effectExtent l="0" t="0" r="0" b="0"/>
            <wp:wrapNone/>
            <wp:docPr id="1004247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52082" name="numb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DA6">
        <w:t xml:space="preserve">Records of violations remain in the </w:t>
      </w:r>
      <w:r w:rsidR="008C5DA6" w:rsidRPr="008C5DA6">
        <w:t>C</w:t>
      </w:r>
      <w:r w:rsidRPr="008C5DA6">
        <w:t>learinghouse until:</w:t>
      </w:r>
    </w:p>
    <w:p w:rsidR="00EC4774" w:rsidRDefault="00EC4774" w:rsidP="00E11AB8">
      <w:pPr>
        <w:pStyle w:val="Heading2"/>
      </w:pPr>
      <w:bookmarkStart w:id="12" w:name="_Toc19637437"/>
    </w:p>
    <w:p w:rsidR="00EC4774" w:rsidRDefault="00EC4774" w:rsidP="00E11AB8">
      <w:pPr>
        <w:pStyle w:val="Heading2"/>
      </w:pPr>
    </w:p>
    <w:p w:rsidR="00EC4774" w:rsidRDefault="00EC4774" w:rsidP="00E11AB8">
      <w:pPr>
        <w:pStyle w:val="Heading2"/>
      </w:pPr>
    </w:p>
    <w:p w:rsidR="00EC4774" w:rsidRDefault="00EC4774" w:rsidP="00E11AB8">
      <w:pPr>
        <w:pStyle w:val="Heading2"/>
      </w:pPr>
    </w:p>
    <w:p w:rsidR="00EC4774" w:rsidRDefault="00EC4774" w:rsidP="00E11AB8">
      <w:pPr>
        <w:pStyle w:val="Heading2"/>
      </w:pPr>
    </w:p>
    <w:p w:rsidR="00EC4774" w:rsidRDefault="00EC4774" w:rsidP="00E11AB8">
      <w:pPr>
        <w:pStyle w:val="Heading2"/>
      </w:pPr>
    </w:p>
    <w:p w:rsidR="00EC4774" w:rsidRDefault="00EC4774" w:rsidP="00E11AB8">
      <w:pPr>
        <w:pStyle w:val="Heading2"/>
      </w:pPr>
    </w:p>
    <w:p w:rsidR="00EC4774" w:rsidRDefault="00EC4774" w:rsidP="00EC4774"/>
    <w:p w:rsidR="00EC4774" w:rsidRDefault="00EC4774" w:rsidP="00EC4774"/>
    <w:p w:rsidR="00EC4774" w:rsidRDefault="00EC4774" w:rsidP="00EC4774"/>
    <w:p w:rsidR="00EC4774" w:rsidRDefault="00EC4774" w:rsidP="00EC4774"/>
    <w:p w:rsidR="00EC4774" w:rsidRDefault="00EC4774" w:rsidP="00EC4774"/>
    <w:p w:rsidR="00EC4774" w:rsidRPr="00EC4774" w:rsidRDefault="00EC4774" w:rsidP="00EC4774"/>
    <w:p w:rsidR="00E11AB8" w:rsidRDefault="00532D40" w:rsidP="00E11AB8">
      <w:pPr>
        <w:pStyle w:val="Heading2"/>
      </w:pPr>
      <w:bookmarkStart w:id="13" w:name="_Toc22885663"/>
      <w:r>
        <w:t>How the Clearinghouse Will Be Used</w:t>
      </w:r>
      <w:bookmarkEnd w:id="12"/>
      <w:bookmarkEnd w:id="13"/>
    </w:p>
    <w:p w:rsidR="00E11AB8" w:rsidRDefault="00532D40" w:rsidP="00E11AB8">
      <w:pPr>
        <w:spacing w:after="120"/>
      </w:pPr>
      <w:r>
        <w:t xml:space="preserve">Depending on the stakeholder, the Clearinghouse will be utilized in </w:t>
      </w:r>
      <w:r>
        <w:t>various ways</w:t>
      </w:r>
      <w:r w:rsidR="00E64181">
        <w:t>, as summarized below</w:t>
      </w:r>
      <w:r w:rsidR="006454D1">
        <w:t>:</w:t>
      </w:r>
    </w:p>
    <w:p w:rsidR="00893984" w:rsidRDefault="00532D40" w:rsidP="00893984">
      <w:pPr>
        <w:pStyle w:val="ListParagraph"/>
        <w:numPr>
          <w:ilvl w:val="0"/>
          <w:numId w:val="7"/>
        </w:numPr>
        <w:spacing w:after="120"/>
        <w:contextualSpacing w:val="0"/>
      </w:pPr>
      <w:r w:rsidRPr="00934D2E">
        <w:rPr>
          <w:b/>
        </w:rPr>
        <w:t>Employers</w:t>
      </w:r>
      <w:r w:rsidR="00793BD9">
        <w:t>—</w:t>
      </w:r>
      <w:r w:rsidR="00934D2E">
        <w:t xml:space="preserve">Employers will use the Clearinghouse to report drug and alcohol violations </w:t>
      </w:r>
      <w:r w:rsidR="00E64181">
        <w:t>and</w:t>
      </w:r>
      <w:r w:rsidR="00934D2E">
        <w:t xml:space="preserve"> to ensure that current and prospective employees are permitted to perform safety-sensitive functions. If a CDL holder </w:t>
      </w:r>
      <w:r w:rsidR="006668BB">
        <w:t>has</w:t>
      </w:r>
      <w:r w:rsidR="00934D2E">
        <w:t xml:space="preserve"> a drug and alcohol program violation, employers will need to confirm the driver has successfully completed the RTD process.</w:t>
      </w:r>
      <w:r>
        <w:t xml:space="preserve"> From an employer perspective, the basic Clearinghouse process is as follows:</w:t>
      </w:r>
    </w:p>
    <w:p w:rsidR="00893984" w:rsidRDefault="00532D40" w:rsidP="00893984">
      <w:pPr>
        <w:pStyle w:val="ListParagraph"/>
        <w:numPr>
          <w:ilvl w:val="1"/>
          <w:numId w:val="7"/>
        </w:numPr>
        <w:spacing w:after="120"/>
        <w:contextualSpacing w:val="0"/>
      </w:pPr>
      <w:r>
        <w:t>The employer makes an electronic request for information.</w:t>
      </w:r>
    </w:p>
    <w:p w:rsidR="00893984" w:rsidRDefault="00532D40" w:rsidP="00893984">
      <w:pPr>
        <w:pStyle w:val="ListParagraph"/>
        <w:numPr>
          <w:ilvl w:val="1"/>
          <w:numId w:val="7"/>
        </w:numPr>
        <w:spacing w:after="120"/>
        <w:contextualSpacing w:val="0"/>
      </w:pPr>
      <w:r>
        <w:t>The dri</w:t>
      </w:r>
      <w:r>
        <w:t>ver is notified and their consent is requested.</w:t>
      </w:r>
    </w:p>
    <w:p w:rsidR="00893984" w:rsidRDefault="00532D40" w:rsidP="00893984">
      <w:pPr>
        <w:pStyle w:val="ListParagraph"/>
        <w:numPr>
          <w:ilvl w:val="1"/>
          <w:numId w:val="7"/>
        </w:numPr>
        <w:spacing w:after="120"/>
        <w:contextualSpacing w:val="0"/>
      </w:pPr>
      <w:r>
        <w:t>The FMCSA receives electronic consent from the driver.</w:t>
      </w:r>
    </w:p>
    <w:p w:rsidR="006454D1" w:rsidRDefault="00532D40" w:rsidP="00893984">
      <w:pPr>
        <w:pStyle w:val="ListParagraph"/>
        <w:numPr>
          <w:ilvl w:val="1"/>
          <w:numId w:val="7"/>
        </w:numPr>
        <w:spacing w:after="120"/>
        <w:contextualSpacing w:val="0"/>
      </w:pPr>
      <w:r>
        <w:t>If records exist, they are released to the employer</w:t>
      </w:r>
      <w:r w:rsidR="001212CE">
        <w:t>, who will</w:t>
      </w:r>
      <w:r w:rsidR="002D5F2C">
        <w:t xml:space="preserve"> then</w:t>
      </w:r>
      <w:r w:rsidR="001212CE">
        <w:t xml:space="preserve"> use the records to determine the driver’s fitness for duty</w:t>
      </w:r>
      <w:r>
        <w:t>.</w:t>
      </w:r>
    </w:p>
    <w:p w:rsidR="006454D1" w:rsidRDefault="00532D40" w:rsidP="00E9485A">
      <w:pPr>
        <w:pStyle w:val="ListParagraph"/>
        <w:numPr>
          <w:ilvl w:val="0"/>
          <w:numId w:val="7"/>
        </w:numPr>
        <w:spacing w:after="120"/>
        <w:contextualSpacing w:val="0"/>
      </w:pPr>
      <w:r w:rsidRPr="00E9485A">
        <w:rPr>
          <w:b/>
        </w:rPr>
        <w:t>CDL holders</w:t>
      </w:r>
      <w:r w:rsidR="00793BD9">
        <w:t>—</w:t>
      </w:r>
      <w:r w:rsidR="00E9485A">
        <w:t xml:space="preserve">Using the Clearinghouse, drivers can review violation records to confirm their accuracy. In addition, drivers can use the Clearinghouse to provide consent to current or </w:t>
      </w:r>
      <w:r w:rsidR="00E9485A">
        <w:lastRenderedPageBreak/>
        <w:t xml:space="preserve">prospective employers to access details about any drug and alcohol program violations. </w:t>
      </w:r>
      <w:r w:rsidR="00E64181">
        <w:t>D</w:t>
      </w:r>
      <w:r w:rsidR="00E9485A">
        <w:t>rivers can</w:t>
      </w:r>
      <w:r w:rsidR="00E64181">
        <w:t xml:space="preserve"> also</w:t>
      </w:r>
      <w:r w:rsidR="00E9485A">
        <w:t xml:space="preserve"> </w:t>
      </w:r>
      <w:r w:rsidR="00E64181">
        <w:t xml:space="preserve">use </w:t>
      </w:r>
      <w:r w:rsidR="00E9485A">
        <w:t>the Clearinghouse to select a SAP, as needed.</w:t>
      </w:r>
    </w:p>
    <w:p w:rsidR="006454D1" w:rsidRDefault="00532D40" w:rsidP="006454D1">
      <w:pPr>
        <w:pStyle w:val="ListParagraph"/>
        <w:numPr>
          <w:ilvl w:val="0"/>
          <w:numId w:val="7"/>
        </w:numPr>
        <w:spacing w:after="120"/>
        <w:contextualSpacing w:val="0"/>
      </w:pPr>
      <w:r w:rsidRPr="00725B23">
        <w:rPr>
          <w:b/>
        </w:rPr>
        <w:t>Medical review officers</w:t>
      </w:r>
      <w:r w:rsidR="00793BD9">
        <w:t>—</w:t>
      </w:r>
      <w:r w:rsidR="00725B23">
        <w:t>In general, medical review officers will use the Clearinghouse to report verified positive drug test results</w:t>
      </w:r>
      <w:r w:rsidR="00E64181">
        <w:t xml:space="preserve">, along with </w:t>
      </w:r>
      <w:r w:rsidR="00725B23">
        <w:t>any refusals to test.</w:t>
      </w:r>
    </w:p>
    <w:p w:rsidR="006454D1" w:rsidRDefault="00532D40" w:rsidP="006454D1">
      <w:pPr>
        <w:pStyle w:val="ListParagraph"/>
        <w:numPr>
          <w:ilvl w:val="0"/>
          <w:numId w:val="7"/>
        </w:numPr>
        <w:spacing w:after="120"/>
        <w:contextualSpacing w:val="0"/>
      </w:pPr>
      <w:r w:rsidRPr="004861D2">
        <w:rPr>
          <w:b/>
        </w:rPr>
        <w:t>SAPs</w:t>
      </w:r>
      <w:r w:rsidR="00793BD9">
        <w:t>—</w:t>
      </w:r>
      <w:r w:rsidR="00AC0411">
        <w:t>SAPs will use the Clearinghouse to report information regarding the RTD process, including initial assessment details and</w:t>
      </w:r>
      <w:r w:rsidR="004861D2">
        <w:t xml:space="preserve"> a driver’s</w:t>
      </w:r>
      <w:r w:rsidR="00AC0411">
        <w:t xml:space="preserve"> eligibility status</w:t>
      </w:r>
      <w:r w:rsidR="004861D2">
        <w:t>.</w:t>
      </w:r>
    </w:p>
    <w:p w:rsidR="006454D1" w:rsidRDefault="00532D40" w:rsidP="006454D1">
      <w:pPr>
        <w:pStyle w:val="ListParagraph"/>
        <w:numPr>
          <w:ilvl w:val="0"/>
          <w:numId w:val="7"/>
        </w:numPr>
        <w:spacing w:after="120"/>
        <w:contextualSpacing w:val="0"/>
      </w:pPr>
      <w:r w:rsidRPr="008C5DA6">
        <w:rPr>
          <w:b/>
        </w:rPr>
        <w:t>Consortium and other third-party administrators</w:t>
      </w:r>
      <w:r w:rsidR="00793BD9">
        <w:t>—</w:t>
      </w:r>
      <w:r w:rsidR="008C5DA6">
        <w:t>These entities will access the Clearinghouse on behalf of an employer to report drug and alcohol program violations and perform driver queries as required.</w:t>
      </w:r>
    </w:p>
    <w:p w:rsidR="000F002B" w:rsidRDefault="00532D40" w:rsidP="000F002B">
      <w:pPr>
        <w:pStyle w:val="ListParagraph"/>
        <w:numPr>
          <w:ilvl w:val="0"/>
          <w:numId w:val="7"/>
        </w:numPr>
        <w:spacing w:after="120"/>
        <w:contextualSpacing w:val="0"/>
      </w:pPr>
      <w:r w:rsidRPr="008C5DA6">
        <w:rPr>
          <w:b/>
        </w:rPr>
        <w:t>State driver licensing agencies</w:t>
      </w:r>
      <w:r w:rsidR="00793BD9">
        <w:t>—</w:t>
      </w:r>
      <w:r w:rsidR="008C5DA6">
        <w:t>These entities will query the Clearinghouse when finalizing licensing transactions.</w:t>
      </w:r>
    </w:p>
    <w:p w:rsidR="00893984" w:rsidRDefault="00532D40" w:rsidP="000F002B">
      <w:pPr>
        <w:spacing w:after="120"/>
      </w:pPr>
      <w:r>
        <w:t>While the Clearinghouse will benefit stakehol</w:t>
      </w:r>
      <w:r>
        <w:t>ders</w:t>
      </w:r>
      <w:r w:rsidR="000F002B">
        <w:t xml:space="preserve"> in different ways</w:t>
      </w:r>
      <w:r>
        <w:t>,</w:t>
      </w:r>
      <w:r w:rsidR="000F002B">
        <w:t xml:space="preserve"> its overarching goal is the same—</w:t>
      </w:r>
      <w:r w:rsidR="00257D55" w:rsidRPr="00257D55">
        <w:t>improve roadway safety by identifying CMV drivers who have committed drug and alcohol violations that render them ineligible to operate a CMV</w:t>
      </w:r>
      <w:r w:rsidR="00257D55">
        <w:t>.</w:t>
      </w:r>
      <w:r w:rsidR="000F002B">
        <w:t xml:space="preserve"> While the goal of the Clearinghouse and its basic functionality </w:t>
      </w:r>
      <w:r>
        <w:t>is relatively straightforward, there are a number of complex compliance steps employers need to consider.</w:t>
      </w:r>
    </w:p>
    <w:p w:rsidR="00893984" w:rsidRDefault="00893984" w:rsidP="000F002B">
      <w:pPr>
        <w:spacing w:after="120"/>
      </w:pPr>
    </w:p>
    <w:p w:rsidR="00893984" w:rsidRDefault="00893984" w:rsidP="000F002B">
      <w:pPr>
        <w:spacing w:after="120"/>
      </w:pPr>
    </w:p>
    <w:p w:rsidR="00893984" w:rsidRDefault="00893984" w:rsidP="000F002B">
      <w:pPr>
        <w:spacing w:after="120"/>
        <w:sectPr w:rsidR="00893984" w:rsidSect="006451B6"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6451B6" w:rsidRDefault="00532D40" w:rsidP="006451B6">
      <w:pPr>
        <w:pStyle w:val="Heading1"/>
      </w:pPr>
      <w:bookmarkStart w:id="14" w:name="_Toc19637438"/>
      <w:bookmarkStart w:id="15" w:name="_Toc22725969"/>
      <w:bookmarkStart w:id="16" w:name="_Toc22885664"/>
      <w:r>
        <w:lastRenderedPageBreak/>
        <w:t>Compliance Considerations: Employers</w:t>
      </w:r>
      <w:bookmarkEnd w:id="14"/>
      <w:bookmarkEnd w:id="15"/>
      <w:bookmarkEnd w:id="16"/>
    </w:p>
    <w:p w:rsidR="00C76EFF" w:rsidRDefault="00532D40" w:rsidP="00C76EFF">
      <w:r>
        <w:t xml:space="preserve">The Clearinghouse will offer employers a centralized location to query driver information and </w:t>
      </w:r>
      <w:r>
        <w:t>report drug and alcohol program violations incurred by current</w:t>
      </w:r>
      <w:r w:rsidR="00AF6410">
        <w:t xml:space="preserve"> and </w:t>
      </w:r>
      <w:r>
        <w:t xml:space="preserve">prospective employees </w:t>
      </w:r>
      <w:r w:rsidR="00156A32">
        <w:t xml:space="preserve">who </w:t>
      </w:r>
      <w:r>
        <w:t xml:space="preserve">hold CDLs </w:t>
      </w:r>
      <w:r w:rsidR="00156A32">
        <w:t>or</w:t>
      </w:r>
      <w:r>
        <w:t xml:space="preserve"> CLPs. These employers must use the Clearinghouse to:</w:t>
      </w:r>
    </w:p>
    <w:p w:rsidR="00C76EFF" w:rsidRDefault="00532D40" w:rsidP="00C76EFF">
      <w:pPr>
        <w:pStyle w:val="ListParagraph"/>
        <w:numPr>
          <w:ilvl w:val="0"/>
          <w:numId w:val="10"/>
        </w:numPr>
        <w:spacing w:after="120"/>
        <w:contextualSpacing w:val="0"/>
      </w:pPr>
      <w:r>
        <w:t>Conduct a full query</w:t>
      </w:r>
      <w:r w:rsidR="005C4566">
        <w:t>—an electronic check-in to the Clearinghouse—</w:t>
      </w:r>
      <w:r>
        <w:t>as part of each pre-employment d</w:t>
      </w:r>
      <w:r>
        <w:t>river investigation process</w:t>
      </w:r>
      <w:r w:rsidR="00D01477">
        <w:t>.</w:t>
      </w:r>
    </w:p>
    <w:p w:rsidR="00C76EFF" w:rsidRDefault="00532D40" w:rsidP="00C76EFF">
      <w:pPr>
        <w:pStyle w:val="ListParagraph"/>
        <w:numPr>
          <w:ilvl w:val="0"/>
          <w:numId w:val="10"/>
        </w:numPr>
        <w:spacing w:after="120"/>
        <w:contextualSpacing w:val="0"/>
      </w:pPr>
      <w:r>
        <w:t>Conduct limited queries at least annually for every driver they employ</w:t>
      </w:r>
      <w:r w:rsidR="00D01477">
        <w:t>.</w:t>
      </w:r>
    </w:p>
    <w:p w:rsidR="00C76EFF" w:rsidRDefault="00532D40" w:rsidP="00C76EFF">
      <w:pPr>
        <w:pStyle w:val="ListParagraph"/>
        <w:numPr>
          <w:ilvl w:val="0"/>
          <w:numId w:val="10"/>
        </w:numPr>
        <w:spacing w:after="120"/>
        <w:contextualSpacing w:val="0"/>
      </w:pPr>
      <w:r>
        <w:t xml:space="preserve">Request electronic consent from each driver for a full query, including </w:t>
      </w:r>
      <w:r w:rsidR="00AF6410">
        <w:t xml:space="preserve">every </w:t>
      </w:r>
      <w:r>
        <w:t>pre-employment quer</w:t>
      </w:r>
      <w:r w:rsidR="00AF6410">
        <w:t>y</w:t>
      </w:r>
      <w:r w:rsidR="00D01477">
        <w:t>.</w:t>
      </w:r>
    </w:p>
    <w:p w:rsidR="00C76EFF" w:rsidRDefault="00532D40" w:rsidP="00C76EFF">
      <w:pPr>
        <w:pStyle w:val="ListParagraph"/>
        <w:numPr>
          <w:ilvl w:val="0"/>
          <w:numId w:val="10"/>
        </w:numPr>
        <w:spacing w:after="120"/>
        <w:contextualSpacing w:val="0"/>
      </w:pPr>
      <w:r>
        <w:t>Report drug and alcohol program violations</w:t>
      </w:r>
      <w:r w:rsidR="00D01477">
        <w:t>.</w:t>
      </w:r>
    </w:p>
    <w:p w:rsidR="00793BD9" w:rsidRDefault="00532D40" w:rsidP="00C76EFF">
      <w:pPr>
        <w:pStyle w:val="ListParagraph"/>
        <w:numPr>
          <w:ilvl w:val="0"/>
          <w:numId w:val="10"/>
        </w:numPr>
        <w:spacing w:after="120"/>
        <w:contextualSpacing w:val="0"/>
      </w:pPr>
      <w:r>
        <w:t>Record nega</w:t>
      </w:r>
      <w:r>
        <w:t xml:space="preserve">tive </w:t>
      </w:r>
      <w:r w:rsidR="00567C84">
        <w:t>RTD</w:t>
      </w:r>
      <w:r>
        <w:t xml:space="preserve"> test results and the date of successful completion of a follow-up testing plan for any driver they employ with unresolved drug and alcohol program violation</w:t>
      </w:r>
      <w:r w:rsidR="00156A32">
        <w:t>s</w:t>
      </w:r>
      <w:r w:rsidR="00D01477">
        <w:t>.</w:t>
      </w:r>
    </w:p>
    <w:p w:rsidR="001A0BBC" w:rsidRDefault="00532D40" w:rsidP="001A0BBC">
      <w:pPr>
        <w:spacing w:after="120"/>
      </w:pPr>
      <w:r>
        <w:t xml:space="preserve">Any employer, employee or service agent that does not comply with </w:t>
      </w:r>
      <w:r w:rsidR="00AF6410">
        <w:t xml:space="preserve">its </w:t>
      </w:r>
      <w:r>
        <w:t>responsibilities u</w:t>
      </w:r>
      <w:r>
        <w:t>nder th</w:t>
      </w:r>
      <w:r w:rsidR="00AF6410">
        <w:t>e</w:t>
      </w:r>
      <w:r>
        <w:t xml:space="preserve"> new rule may be subject to civil or criminal penalties. </w:t>
      </w:r>
      <w:r w:rsidR="00730B18">
        <w:t xml:space="preserve">Following an issue of noncompliance, </w:t>
      </w:r>
      <w:r>
        <w:t>employer</w:t>
      </w:r>
      <w:r w:rsidR="00730B18">
        <w:t>s</w:t>
      </w:r>
      <w:r>
        <w:t>, employee</w:t>
      </w:r>
      <w:r w:rsidR="00730B18">
        <w:t>s</w:t>
      </w:r>
      <w:r>
        <w:t xml:space="preserve"> or service agent</w:t>
      </w:r>
      <w:r w:rsidR="00730B18">
        <w:t>s</w:t>
      </w:r>
      <w:r>
        <w:t xml:space="preserve"> may </w:t>
      </w:r>
      <w:r w:rsidR="00A17091">
        <w:t>receive</w:t>
      </w:r>
      <w:r>
        <w:t xml:space="preserve"> a notice of claim or violation and </w:t>
      </w:r>
      <w:r w:rsidR="00AF6410">
        <w:t>have an</w:t>
      </w:r>
      <w:r>
        <w:t xml:space="preserve"> opportunity to contest </w:t>
      </w:r>
      <w:r w:rsidR="00730B18">
        <w:t>any</w:t>
      </w:r>
      <w:r>
        <w:t xml:space="preserve"> charges. The type and severity of the penalty </w:t>
      </w:r>
      <w:r w:rsidR="00730B18">
        <w:t>will likely</w:t>
      </w:r>
      <w:r>
        <w:t xml:space="preserve"> depend on the circumstances surrounding the violation.</w:t>
      </w:r>
    </w:p>
    <w:p w:rsidR="00567C84" w:rsidRDefault="00532D40" w:rsidP="00567C84">
      <w:pPr>
        <w:spacing w:after="120"/>
      </w:pPr>
      <w:r>
        <w:t>The following sections will examine</w:t>
      </w:r>
      <w:r w:rsidR="00D01477">
        <w:t xml:space="preserve"> the</w:t>
      </w:r>
      <w:r>
        <w:t xml:space="preserve"> query</w:t>
      </w:r>
      <w:r w:rsidR="00D01477">
        <w:t xml:space="preserve"> process</w:t>
      </w:r>
      <w:r>
        <w:t xml:space="preserve">, reporting </w:t>
      </w:r>
      <w:r w:rsidR="0035443B">
        <w:t xml:space="preserve">obligations </w:t>
      </w:r>
      <w:r>
        <w:t>and record</w:t>
      </w:r>
      <w:r w:rsidR="000455FA">
        <w:t>-</w:t>
      </w:r>
      <w:r>
        <w:t>retention requirements in more detail.</w:t>
      </w:r>
    </w:p>
    <w:p w:rsidR="00567C84" w:rsidRDefault="00532D40" w:rsidP="00637FAA">
      <w:pPr>
        <w:pStyle w:val="Heading2"/>
      </w:pPr>
      <w:bookmarkStart w:id="17" w:name="_Toc19637439"/>
      <w:bookmarkStart w:id="18" w:name="_Toc22885665"/>
      <w:r>
        <w:t>Conducting a Qu</w:t>
      </w:r>
      <w:r>
        <w:t>ery</w:t>
      </w:r>
      <w:bookmarkEnd w:id="17"/>
      <w:bookmarkEnd w:id="18"/>
    </w:p>
    <w:p w:rsidR="004E19C9" w:rsidRDefault="00532D40" w:rsidP="004E19C9">
      <w:r>
        <w:t xml:space="preserve">A query is an electronic check in the Clearinghouse conducted by an employer or </w:t>
      </w:r>
      <w:r w:rsidR="0035443B">
        <w:t xml:space="preserve">its </w:t>
      </w:r>
      <w:r>
        <w:t>designated consortium/third-party administrator. Th</w:t>
      </w:r>
      <w:r w:rsidR="0035443B">
        <w:t xml:space="preserve">is type of </w:t>
      </w:r>
      <w:r>
        <w:t>quer</w:t>
      </w:r>
      <w:r w:rsidR="0035443B">
        <w:t>y is</w:t>
      </w:r>
      <w:r>
        <w:t xml:space="preserve"> used to determine </w:t>
      </w:r>
      <w:r w:rsidR="0035443B">
        <w:t>whether</w:t>
      </w:r>
      <w:r>
        <w:t xml:space="preserve"> current or prospective employees are prohibited from performing safety-sensitive functions, such as operating a CMV, due to unresolved drug and alcohol program violations.</w:t>
      </w:r>
    </w:p>
    <w:p w:rsidR="007A749F" w:rsidRDefault="00532D40" w:rsidP="00903E13">
      <w:r>
        <w:t xml:space="preserve">Motor carriers must </w:t>
      </w:r>
      <w:r w:rsidR="00903E13">
        <w:t xml:space="preserve">conduct a query of the Clearinghouse </w:t>
      </w:r>
      <w:r>
        <w:t>within a 365-</w:t>
      </w:r>
      <w:r w:rsidR="0035443B">
        <w:t xml:space="preserve">day </w:t>
      </w:r>
      <w:r>
        <w:t>period ba</w:t>
      </w:r>
      <w:r>
        <w:t xml:space="preserve">sed on a driver’s hire date (once a year). This requirement applies </w:t>
      </w:r>
      <w:r w:rsidR="0035443B">
        <w:t xml:space="preserve">for </w:t>
      </w:r>
      <w:r>
        <w:t xml:space="preserve">every </w:t>
      </w:r>
      <w:r w:rsidR="00903E13">
        <w:t>CDL</w:t>
      </w:r>
      <w:r>
        <w:t xml:space="preserve"> holder employe</w:t>
      </w:r>
      <w:r w:rsidR="0035443B">
        <w:t>d</w:t>
      </w:r>
      <w:r w:rsidR="00903E13">
        <w:t xml:space="preserve">. </w:t>
      </w:r>
      <w:r>
        <w:t xml:space="preserve">While employers must complete annual </w:t>
      </w:r>
      <w:r w:rsidR="00A228EF">
        <w:t>queries</w:t>
      </w:r>
      <w:r>
        <w:t xml:space="preserve">, </w:t>
      </w:r>
      <w:r w:rsidR="00A228EF">
        <w:t xml:space="preserve">they can </w:t>
      </w:r>
      <w:r w:rsidR="0035443B">
        <w:t xml:space="preserve">also </w:t>
      </w:r>
      <w:r w:rsidR="00A228EF">
        <w:t xml:space="preserve">opt to conduct </w:t>
      </w:r>
      <w:r w:rsidR="0035443B">
        <w:t xml:space="preserve">additional </w:t>
      </w:r>
      <w:r w:rsidR="00A228EF">
        <w:t>searches as often as they’d like, provided they obtain an employee’s consent</w:t>
      </w:r>
      <w:r w:rsidR="00743450">
        <w:t xml:space="preserve"> and are willing to pay the fee</w:t>
      </w:r>
      <w:r w:rsidR="00A228EF">
        <w:t>.</w:t>
      </w:r>
    </w:p>
    <w:p w:rsidR="005C4566" w:rsidRDefault="00532D40" w:rsidP="00903E13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5943600" cy="12211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90470" name="full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 the FMCSA, annual queries can be full or limited</w:t>
      </w:r>
      <w:r w:rsidR="0035443B">
        <w:t>, as further explained below</w:t>
      </w:r>
      <w:r>
        <w:t>:</w:t>
      </w:r>
    </w:p>
    <w:p w:rsidR="00EC4774" w:rsidRDefault="00EC4774" w:rsidP="00EC4774">
      <w:pPr>
        <w:pStyle w:val="ListParagraph"/>
        <w:spacing w:after="120"/>
        <w:contextualSpacing w:val="0"/>
      </w:pPr>
    </w:p>
    <w:p w:rsidR="00EC4774" w:rsidRDefault="00EC4774" w:rsidP="00EC4774">
      <w:pPr>
        <w:pStyle w:val="ListParagraph"/>
        <w:spacing w:after="120"/>
        <w:contextualSpacing w:val="0"/>
      </w:pPr>
    </w:p>
    <w:p w:rsidR="00EC4774" w:rsidRDefault="00EC4774" w:rsidP="00EC4774">
      <w:pPr>
        <w:pStyle w:val="ListParagraph"/>
        <w:spacing w:after="120"/>
        <w:contextualSpacing w:val="0"/>
      </w:pPr>
    </w:p>
    <w:p w:rsidR="00EC4774" w:rsidRDefault="00EC4774" w:rsidP="00EC4774">
      <w:pPr>
        <w:pStyle w:val="ListParagraph"/>
        <w:spacing w:after="120"/>
        <w:contextualSpacing w:val="0"/>
      </w:pPr>
    </w:p>
    <w:p w:rsidR="00EC4774" w:rsidRDefault="00EC4774" w:rsidP="00EC4774">
      <w:pPr>
        <w:pStyle w:val="ListParagraph"/>
        <w:spacing w:after="120"/>
        <w:contextualSpacing w:val="0"/>
      </w:pPr>
    </w:p>
    <w:p w:rsidR="00EC4774" w:rsidRPr="00EC4774" w:rsidRDefault="00532D40" w:rsidP="00EC4774">
      <w:pPr>
        <w:pStyle w:val="ListParagraph"/>
        <w:spacing w:after="12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943600" cy="21621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21545" name="limted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774" w:rsidRPr="00EC4774" w:rsidRDefault="00EC4774" w:rsidP="00EC4774">
      <w:pPr>
        <w:pStyle w:val="ListParagraph"/>
        <w:spacing w:after="120"/>
        <w:contextualSpacing w:val="0"/>
      </w:pPr>
    </w:p>
    <w:p w:rsidR="00EC4774" w:rsidRDefault="00EC4774" w:rsidP="00903E13"/>
    <w:p w:rsidR="00EC4774" w:rsidRDefault="00EC4774" w:rsidP="00903E13"/>
    <w:p w:rsidR="00EC4774" w:rsidRDefault="00EC4774" w:rsidP="00903E13"/>
    <w:p w:rsidR="00EC4774" w:rsidRDefault="00EC4774" w:rsidP="00903E13"/>
    <w:p w:rsidR="00EC4774" w:rsidRDefault="00EC4774" w:rsidP="00903E13"/>
    <w:p w:rsidR="00EC4774" w:rsidRDefault="00EC4774" w:rsidP="00903E13"/>
    <w:p w:rsidR="00903E13" w:rsidRDefault="00532D40" w:rsidP="00903E13">
      <w:r>
        <w:t xml:space="preserve">In addition to </w:t>
      </w:r>
      <w:r w:rsidR="0035443B">
        <w:t xml:space="preserve">the </w:t>
      </w:r>
      <w:r>
        <w:t>annual queries, employers must conduct a full pre-employment query before hiring a</w:t>
      </w:r>
      <w:r w:rsidR="0035443B">
        <w:t>ny</w:t>
      </w:r>
      <w:r>
        <w:t xml:space="preserve"> driver for a safe</w:t>
      </w:r>
      <w:r>
        <w:t xml:space="preserve">ty-sensitive position. </w:t>
      </w:r>
    </w:p>
    <w:p w:rsidR="007A749F" w:rsidRDefault="00532D40" w:rsidP="00903E13">
      <w:r>
        <w:t xml:space="preserve">The FMCSA will charge a </w:t>
      </w:r>
      <w:r w:rsidR="004E19C9">
        <w:t xml:space="preserve">flat </w:t>
      </w:r>
      <w:r>
        <w:t xml:space="preserve">fee </w:t>
      </w:r>
      <w:r w:rsidR="004E19C9">
        <w:t xml:space="preserve">of </w:t>
      </w:r>
      <w:r w:rsidR="004E19C9" w:rsidRPr="004E19C9">
        <w:t xml:space="preserve">$1.25 </w:t>
      </w:r>
      <w:r>
        <w:t xml:space="preserve">for every </w:t>
      </w:r>
      <w:r w:rsidR="004E19C9">
        <w:t xml:space="preserve">full and limited </w:t>
      </w:r>
      <w:r w:rsidR="00871018">
        <w:t>query</w:t>
      </w:r>
      <w:r w:rsidR="004E19C9">
        <w:t xml:space="preserve"> of the Clearinghouse.</w:t>
      </w:r>
      <w:r>
        <w:t xml:space="preserve"> </w:t>
      </w:r>
      <w:r w:rsidR="004E19C9">
        <w:t>The FMCSA offer</w:t>
      </w:r>
      <w:r w:rsidR="00174282">
        <w:t>s</w:t>
      </w:r>
      <w:r w:rsidR="004E19C9">
        <w:t xml:space="preserve"> bundle plans, but motor carriers will not receive any discounts unless they purchase an unlimited bundle plan for $24,</w:t>
      </w:r>
      <w:r w:rsidR="00A5781B">
        <w:t>5</w:t>
      </w:r>
      <w:r w:rsidR="004E19C9">
        <w:t>00. While the unlimited plan is only good for one year, other bundles do not expire. Please note that consortium/third-party administrators can</w:t>
      </w:r>
      <w:r w:rsidR="004426BD">
        <w:t>’</w:t>
      </w:r>
      <w:r w:rsidR="004E19C9">
        <w:t>t purchase queries on an employer’s behalf.</w:t>
      </w:r>
    </w:p>
    <w:p w:rsidR="004E19C9" w:rsidRDefault="00532D40" w:rsidP="00903E13">
      <w:r>
        <w:t xml:space="preserve">In general, the query bundle </w:t>
      </w:r>
      <w:r w:rsidR="00FE3C0F">
        <w:t xml:space="preserve">motor carriers </w:t>
      </w:r>
      <w:r>
        <w:t xml:space="preserve">purchase will depend on the number of queries </w:t>
      </w:r>
      <w:r w:rsidR="00FE3C0F">
        <w:t>they</w:t>
      </w:r>
      <w:r>
        <w:t xml:space="preserve"> will need to conduct. For more information on queries and pricing, click </w:t>
      </w:r>
      <w:hyperlink r:id="rId25" w:history="1">
        <w:r w:rsidRPr="004E19C9">
          <w:rPr>
            <w:rStyle w:val="Hyperlink"/>
          </w:rPr>
          <w:t>here</w:t>
        </w:r>
      </w:hyperlink>
      <w:r>
        <w:t>.</w:t>
      </w:r>
    </w:p>
    <w:p w:rsidR="00673203" w:rsidRDefault="00532D40" w:rsidP="00903E1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5943600" cy="30772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02898" name="summary of query requiremen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903E13"/>
    <w:p w:rsidR="006451B6" w:rsidRDefault="006451B6" w:rsidP="00DF7B5E">
      <w:pPr>
        <w:pStyle w:val="Heading2"/>
      </w:pPr>
      <w:bookmarkStart w:id="19" w:name="_Toc19637440"/>
    </w:p>
    <w:p w:rsidR="00DF7B5E" w:rsidRDefault="00532D40" w:rsidP="00DF7B5E">
      <w:pPr>
        <w:pStyle w:val="Heading2"/>
      </w:pPr>
      <w:bookmarkStart w:id="20" w:name="_Toc22885666"/>
      <w:r>
        <w:t>Reporting Requirements</w:t>
      </w:r>
      <w:bookmarkEnd w:id="19"/>
      <w:bookmarkEnd w:id="20"/>
    </w:p>
    <w:p w:rsidR="005C6261" w:rsidRDefault="00532D40" w:rsidP="00115AF3">
      <w:r w:rsidRPr="00644581">
        <w:t xml:space="preserve">Per the Clearinghouse rules, </w:t>
      </w:r>
      <w:r w:rsidR="00115AF3" w:rsidRPr="00644581">
        <w:t xml:space="preserve">FMCSA-regulated employers, medical review officers, designated employee representatives, SAPs and </w:t>
      </w:r>
      <w:r w:rsidRPr="00644581">
        <w:t>consortium/</w:t>
      </w:r>
      <w:r w:rsidR="00115AF3" w:rsidRPr="00644581">
        <w:t xml:space="preserve">third-party administrators </w:t>
      </w:r>
      <w:r w:rsidR="00DD50BB">
        <w:t xml:space="preserve">are </w:t>
      </w:r>
      <w:r w:rsidR="00115AF3" w:rsidRPr="00DD50BB">
        <w:t xml:space="preserve">required to report </w:t>
      </w:r>
      <w:r w:rsidR="00DD50BB" w:rsidRPr="00DD50BB">
        <w:t xml:space="preserve">key information </w:t>
      </w:r>
      <w:r w:rsidR="00DD50BB" w:rsidRPr="00DD50BB">
        <w:lastRenderedPageBreak/>
        <w:t>about CDL and CLP holders to the Clearinghouse</w:t>
      </w:r>
      <w:r w:rsidR="00115AF3" w:rsidRPr="00DD50BB">
        <w:t>.</w:t>
      </w:r>
      <w:r w:rsidR="00DD50BB" w:rsidRPr="00DD50BB">
        <w:t xml:space="preserve"> The table below </w:t>
      </w:r>
      <w:r w:rsidR="00082084">
        <w:t>lists</w:t>
      </w:r>
      <w:r w:rsidR="00082084" w:rsidRPr="00DD50BB">
        <w:t xml:space="preserve"> </w:t>
      </w:r>
      <w:r w:rsidR="000C663B">
        <w:t>reportable violations and</w:t>
      </w:r>
      <w:r w:rsidR="001544A9">
        <w:t xml:space="preserve"> </w:t>
      </w:r>
      <w:r w:rsidR="00082084">
        <w:t xml:space="preserve">summarizes </w:t>
      </w:r>
      <w:r w:rsidR="00DD50BB" w:rsidRPr="00DD50BB">
        <w:t>the types of information</w:t>
      </w:r>
      <w:r w:rsidR="000C663B">
        <w:t xml:space="preserve"> that employers and SAPs must report about them</w:t>
      </w:r>
      <w:r w:rsidR="00DD50BB" w:rsidRPr="00DD50BB">
        <w:t>.</w:t>
      </w:r>
    </w:p>
    <w:p w:rsidR="0057622F" w:rsidRDefault="00532D40" w:rsidP="00903E1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143069</wp:posOffset>
                </wp:positionH>
                <wp:positionV relativeFrom="paragraph">
                  <wp:posOffset>5377815</wp:posOffset>
                </wp:positionV>
                <wp:extent cx="1257300" cy="2667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B28" w:rsidRDefault="00532D40" w:rsidP="00473B28">
                            <w:hyperlink r:id="rId27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382.705(b)(1)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8" type="#_x0000_t202" style="width:99pt;height:21pt;margin-top:423.45pt;margin-left:11.25pt;mso-position-horizontal-relative:margin;mso-wrap-distance-bottom:0;mso-wrap-distance-left:9pt;mso-wrap-distance-right:9pt;mso-wrap-distance-top:0;mso-wrap-style:square;position:absolute;visibility:visible;v-text-anchor:top;z-index:251681792" filled="f" stroked="f" strokeweight="0.5pt">
                <v:textbox>
                  <w:txbxContent>
                    <w:p w:rsidR="00473B28" w:rsidP="00473B28" w14:paraId="2F2A4A4F" w14:textId="0BF37643">
                      <w:r>
                        <w:fldChar w:fldCharType="begin"/>
                      </w:r>
                      <w:r>
                        <w:instrText xml:space="preserve"> HYPERLINK "https://www.federalregister.gov/d/2016-27398/p-648"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382.705(b)(1)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1502410</wp:posOffset>
                </wp:positionH>
                <wp:positionV relativeFrom="paragraph">
                  <wp:posOffset>3372485</wp:posOffset>
                </wp:positionV>
                <wp:extent cx="1257300" cy="27465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4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B28" w:rsidRPr="00D807DD" w:rsidRDefault="00532D40" w:rsidP="00473B28">
                            <w:pPr>
                              <w:rPr>
                                <w:b/>
                              </w:rPr>
                            </w:pPr>
                            <w:hyperlink r:id="rId28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49 CFR 40.191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width:99pt;height:21.65pt;margin-top:265.55pt;margin-left:118.3pt;mso-height-percent:0;mso-height-relative:margin;mso-position-horizontal-relative:margin;mso-wrap-distance-bottom:0;mso-wrap-distance-left:9pt;mso-wrap-distance-right:9pt;mso-wrap-distance-top:0;mso-wrap-style:square;position:absolute;visibility:visible;v-text-anchor:top;z-index:251679744" filled="f" stroked="f" strokeweight="0.5pt">
                <v:textbox>
                  <w:txbxContent>
                    <w:p w:rsidR="00473B28" w:rsidRPr="00D807DD" w:rsidP="00473B28" w14:paraId="4FBC73B8" w14:textId="3F90FBC0">
                      <w:pPr>
                        <w:rPr>
                          <w:b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"https://www.transportation.gov/odapc/part40/40-191"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49 CFR 40.191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C85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5943600" cy="56775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83838" name="reporting requirements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C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1239520</wp:posOffset>
                </wp:positionH>
                <wp:positionV relativeFrom="paragraph">
                  <wp:posOffset>5371465</wp:posOffset>
                </wp:positionV>
                <wp:extent cx="1257300" cy="266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B28" w:rsidRDefault="00532D40" w:rsidP="00473B28">
                            <w:hyperlink r:id="rId30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382.705(b)(2)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0" type="#_x0000_t202" style="width:99pt;height:21pt;margin-top:422.95pt;margin-left:97.6pt;mso-position-horizontal-relative:margin;mso-wrap-distance-bottom:0;mso-wrap-distance-left:9pt;mso-wrap-distance-right:9pt;mso-wrap-distance-top:0;mso-wrap-style:square;position:absolute;visibility:visible;v-text-anchor:top;z-index:251683840" filled="f" stroked="f" strokeweight="0.5pt">
                <v:textbox>
                  <w:txbxContent>
                    <w:p w:rsidR="00473B28" w:rsidP="00473B28" w14:paraId="3DCB4F83" w14:textId="6F20F815">
                      <w:r>
                        <w:fldChar w:fldCharType="begin"/>
                      </w:r>
                      <w:r>
                        <w:instrText xml:space="preserve"> HYPERLINK "https://www.federalregister.gov/d/2016-27398/p-654"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382.705(b)(2)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0C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111125</wp:posOffset>
                </wp:positionH>
                <wp:positionV relativeFrom="paragraph">
                  <wp:posOffset>2854325</wp:posOffset>
                </wp:positionV>
                <wp:extent cx="1257300" cy="2667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B28" w:rsidRPr="00D807DD" w:rsidRDefault="00532D40" w:rsidP="00473B28">
                            <w:pPr>
                              <w:spacing w:after="120"/>
                              <w:rPr>
                                <w:rStyle w:val="Hyperlink"/>
                                <w:b/>
                                <w:sz w:val="20"/>
                                <w:szCs w:val="20"/>
                              </w:rPr>
                            </w:pP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instrText xml:space="preserve"> HYPERLINK "https://www.law.cornell.edu/cfr/text/49/40.261" </w:instrText>
                            </w: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D807DD">
                              <w:rPr>
                                <w:rStyle w:val="Hyperlink"/>
                                <w:b/>
                                <w:sz w:val="20"/>
                                <w:szCs w:val="20"/>
                              </w:rPr>
                              <w:t>49 CFR 40.261</w:t>
                            </w:r>
                            <w:r w:rsidRPr="00D807DD">
                              <w:rPr>
                                <w:rStyle w:val="Hyperlink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)</w:t>
                            </w:r>
                          </w:p>
                          <w:p w:rsidR="00473B28" w:rsidRDefault="00532D40" w:rsidP="00473B28"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1" type="#_x0000_t202" style="width:99pt;height:21pt;margin-top:224.75pt;margin-left:8.75pt;mso-position-horizontal-relative:margin;mso-wrap-distance-bottom:0;mso-wrap-distance-left:9pt;mso-wrap-distance-right:9pt;mso-wrap-distance-top:0;mso-wrap-style:square;position:absolute;visibility:visible;v-text-anchor:top;z-index:251676672" filled="f" stroked="f" strokeweight="0.5pt">
                <v:textbox>
                  <w:txbxContent>
                    <w:p w:rsidR="00473B28" w:rsidRPr="00D807DD" w:rsidP="00473B28" w14:paraId="5DDEF136" w14:textId="77777777">
                      <w:pPr>
                        <w:spacing w:after="120"/>
                        <w:rPr>
                          <w:rStyle w:val="Hyperlink"/>
                          <w:b/>
                          <w:sz w:val="20"/>
                          <w:szCs w:val="20"/>
                        </w:rPr>
                      </w:pPr>
                      <w:r w:rsidRPr="00D807DD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instrText xml:space="preserve"> HYPERLINK "https://www.law.cornell.edu/cfr/text/49/40.261" </w:instrText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49 CFR 40.261</w:t>
                      </w:r>
                      <w:r w:rsidRPr="00D807DD">
                        <w:rPr>
                          <w:rStyle w:val="Hyperlink"/>
                          <w:b/>
                          <w:color w:val="auto"/>
                          <w:sz w:val="20"/>
                          <w:szCs w:val="20"/>
                          <w:u w:val="none"/>
                        </w:rPr>
                        <w:t>)</w:t>
                      </w:r>
                    </w:p>
                    <w:p w:rsidR="00473B28" w:rsidP="00473B28" w14:paraId="4CD884AD" w14:textId="77777777">
                      <w:r w:rsidRPr="00D807DD">
                        <w:rPr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3B28" w:rsidRDefault="00532D40" w:rsidP="002D5F2C">
      <w:pPr>
        <w:pStyle w:val="Heading2"/>
      </w:pPr>
      <w:bookmarkStart w:id="21" w:name="_Toc19637441"/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763714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73149" name="prospectiv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bookmarkStart w:id="22" w:name="_Toc22885668"/>
    <w:bookmarkStart w:id="23" w:name="_Toc22885669"/>
    <w:p w:rsidR="00473B28" w:rsidRDefault="00532D40" w:rsidP="002D5F2C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4617720</wp:posOffset>
                </wp:positionH>
                <wp:positionV relativeFrom="paragraph">
                  <wp:posOffset>208280</wp:posOffset>
                </wp:positionV>
                <wp:extent cx="1051560" cy="2667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32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40.191(a)(1)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2" type="#_x0000_t202" style="width:82.8pt;height:21pt;margin-top:16.4pt;margin-left:363.6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94080" filled="f" stroked="f" strokeweight="0.5pt">
                <v:textbox>
                  <w:txbxContent>
                    <w:p w:rsidR="000571CB" w:rsidP="000571CB" w14:paraId="2556A0A2" w14:textId="497AC949">
                      <w:r>
                        <w:fldChar w:fldCharType="begin"/>
                      </w:r>
                      <w:r>
                        <w:instrText xml:space="preserve"> HYPERLINK "https://www.transportation.gov/odapc/part40/40-191"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  <w:szCs w:val="20"/>
                        </w:rPr>
                        <w:t>40.191(a)(1)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3136265</wp:posOffset>
                </wp:positionV>
                <wp:extent cx="1371600" cy="266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33" w:history="1">
                              <w:r w:rsidRPr="0020695A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382.705(b)(3)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3" type="#_x0000_t202" style="width:108pt;height:21pt;margin-top:246.95pt;margin-left:3.6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9984" filled="f" stroked="f" strokeweight="0.5pt">
                <v:textbox>
                  <w:txbxContent>
                    <w:p w:rsidR="000571CB" w:rsidP="000571CB" w14:paraId="66E33A4C" w14:textId="24258A4D">
                      <w:r>
                        <w:fldChar w:fldCharType="begin"/>
                      </w:r>
                      <w:r>
                        <w:instrText xml:space="preserve"> HYPERLINK "https://www.federalregister.gov/d/2016-27398/p-664" </w:instrText>
                      </w:r>
                      <w:r>
                        <w:fldChar w:fldCharType="separate"/>
                      </w:r>
                      <w:r w:rsidRPr="0020695A">
                        <w:rPr>
                          <w:rStyle w:val="Hyperlink"/>
                          <w:b/>
                          <w:sz w:val="20"/>
                          <w:szCs w:val="20"/>
                        </w:rPr>
                        <w:t>382.705(b)(3)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53340</wp:posOffset>
                </wp:positionH>
                <wp:positionV relativeFrom="paragraph">
                  <wp:posOffset>196850</wp:posOffset>
                </wp:positionV>
                <wp:extent cx="1371600" cy="2667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3B28" w:rsidRPr="00D807DD" w:rsidRDefault="00532D40" w:rsidP="00473B28">
                            <w:pPr>
                              <w:rPr>
                                <w:b/>
                              </w:rPr>
                            </w:pPr>
                            <w:hyperlink r:id="rId34" w:history="1">
                              <w:r w:rsidR="000571CB"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49 CFR 40.261(a)(1)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4" type="#_x0000_t202" style="width:108pt;height:21pt;margin-top:15.5pt;margin-left:4.2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5888" filled="f" stroked="f" strokeweight="0.5pt">
                <v:textbox>
                  <w:txbxContent>
                    <w:p w:rsidR="00473B28" w:rsidRPr="00D807DD" w:rsidP="00473B28" w14:paraId="3663C58D" w14:textId="7948D791">
                      <w:pPr>
                        <w:rPr>
                          <w:b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"https://www.law.cornell.edu/cfr/text/49/40.261" </w:instrText>
                      </w:r>
                      <w:r>
                        <w:fldChar w:fldCharType="separate"/>
                      </w:r>
                      <w:r w:rsidRPr="00D807DD" w:rsidR="000571CB">
                        <w:rPr>
                          <w:rStyle w:val="Hyperlink"/>
                          <w:b/>
                          <w:sz w:val="20"/>
                          <w:szCs w:val="20"/>
                        </w:rPr>
                        <w:t>49 CFR 40.261(a)(1)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1584960</wp:posOffset>
                </wp:positionH>
                <wp:positionV relativeFrom="paragraph">
                  <wp:posOffset>196850</wp:posOffset>
                </wp:positionV>
                <wp:extent cx="1371600" cy="266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Pr="00D807DD" w:rsidRDefault="00532D40" w:rsidP="000571CB">
                            <w:pPr>
                              <w:rPr>
                                <w:b/>
                              </w:rPr>
                            </w:pPr>
                            <w:hyperlink r:id="rId35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40.191(a)(1)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5" type="#_x0000_t202" style="width:108pt;height:21pt;margin-top:15.5pt;margin-left:124.8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7936" filled="f" stroked="f" strokeweight="0.5pt">
                <v:textbox>
                  <w:txbxContent>
                    <w:p w:rsidR="000571CB" w:rsidRPr="00D807DD" w:rsidP="000571CB" w14:paraId="6B175E5B" w14:textId="1D457977">
                      <w:pPr>
                        <w:rPr>
                          <w:b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"https://www.transportation.gov/odapc/part40/40-191"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40.191(a)(1)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2994660</wp:posOffset>
                </wp:positionH>
                <wp:positionV relativeFrom="paragraph">
                  <wp:posOffset>196850</wp:posOffset>
                </wp:positionV>
                <wp:extent cx="1371600" cy="266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36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49 CFR 40.261(a)(1)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6" type="#_x0000_t202" style="width:108pt;height:21pt;margin-top:15.5pt;margin-left:235.8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92032" filled="f" stroked="f" strokeweight="0.5pt">
                <v:textbox>
                  <w:txbxContent>
                    <w:p w:rsidR="000571CB" w:rsidP="000571CB" w14:paraId="29BAD1EC" w14:textId="47596EAF">
                      <w:r>
                        <w:fldChar w:fldCharType="begin"/>
                      </w:r>
                      <w:r>
                        <w:instrText xml:space="preserve"> HYPERLINK "https://www.law.cornell.edu/cfr/text/49/40.261"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  <w:szCs w:val="20"/>
                        </w:rPr>
                        <w:t>49 CFR 40.261(a)(1)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2"/>
      <w:bookmarkEnd w:id="23"/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532D40" w:rsidP="002D5F2C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3600" cy="911284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50225" name="prospective 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bookmarkStart w:id="24" w:name="_Toc22885671"/>
    <w:bookmarkStart w:id="25" w:name="_Toc22885674"/>
    <w:bookmarkStart w:id="26" w:name="_Toc22885673"/>
    <w:bookmarkStart w:id="27" w:name="_Toc22885675"/>
    <w:bookmarkStart w:id="28" w:name="_Toc22885676"/>
    <w:bookmarkStart w:id="29" w:name="_Toc22885672"/>
    <w:p w:rsidR="00473B28" w:rsidRDefault="00532D40" w:rsidP="002D5F2C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1161415</wp:posOffset>
                </wp:positionV>
                <wp:extent cx="1371600" cy="266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Pr="00D807DD" w:rsidRDefault="00532D40" w:rsidP="000571CB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hyperlink r:id="rId38" w:anchor="se49.5.382_1209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382.209</w:t>
                              </w:r>
                            </w:hyperlink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7" type="#_x0000_t202" style="width:108pt;height:21pt;margin-top:91.45pt;margin-left:9.6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0224" filled="f" stroked="f" strokeweight="0.5pt">
                <v:textbox>
                  <w:txbxContent>
                    <w:p w:rsidR="000571CB" w:rsidRPr="00D807DD" w:rsidP="000571CB" w14:paraId="2FCB5FB7" w14:textId="09C80223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fldChar w:fldCharType="begin"/>
                      </w:r>
                      <w:r>
                        <w:instrText xml:space="preserve"> HYPERLINK "https://www.ecfr.gov/cgi-bin/retrieveECFR?gp=1&amp;ty=HTML&amp;h=L&amp;mc=true&amp;=PART&amp;n=pt49.5.382" \l "se49.5.382_1209"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382.209</w:t>
                      </w:r>
                      <w:r>
                        <w:fldChar w:fldCharType="end"/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1783080</wp:posOffset>
                </wp:positionH>
                <wp:positionV relativeFrom="paragraph">
                  <wp:posOffset>1511935</wp:posOffset>
                </wp:positionV>
                <wp:extent cx="1371600" cy="2667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Pr="00D807DD" w:rsidRDefault="00532D40" w:rsidP="000571CB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hyperlink r:id="rId39" w:anchor="se49.5.382_1213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382.213</w:t>
                              </w:r>
                            </w:hyperlink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38" type="#_x0000_t202" style="width:108pt;height:21pt;margin-top:119.05pt;margin-left:140.4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2272" filled="f" stroked="f" strokeweight="0.5pt">
                <v:textbox>
                  <w:txbxContent>
                    <w:p w:rsidR="000571CB" w:rsidRPr="00D807DD" w:rsidP="000571CB" w14:paraId="4B1453CD" w14:textId="00C23C14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fldChar w:fldCharType="begin"/>
                      </w:r>
                      <w:r>
                        <w:instrText xml:space="preserve"> HYPERLINK "https://www.ecfr.gov/cgi-bin/retrieveECFR?gp=1&amp;ty=HTML&amp;h=L&amp;mc=true&amp;=PART&amp;n=pt49.5.382" \l "se49.5.382_1213"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382.213</w:t>
                      </w:r>
                      <w:r>
                        <w:fldChar w:fldCharType="end"/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1455420</wp:posOffset>
                </wp:positionH>
                <wp:positionV relativeFrom="paragraph">
                  <wp:posOffset>254635</wp:posOffset>
                </wp:positionV>
                <wp:extent cx="1371600" cy="2667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Pr="00D807DD" w:rsidRDefault="00532D40" w:rsidP="000571CB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hyperlink r:id="rId40" w:anchor="se49.5.382_1205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382.205</w:t>
                              </w:r>
                            </w:hyperlink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39" type="#_x0000_t202" style="width:108pt;height:21pt;margin-top:20.05pt;margin-left:114.6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>
                  <w:txbxContent>
                    <w:p w:rsidR="000571CB" w:rsidRPr="00D807DD" w:rsidP="000571CB" w14:paraId="6E7B1EF3" w14:textId="37DAEC54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fldChar w:fldCharType="begin"/>
                      </w:r>
                      <w:r>
                        <w:instrText xml:space="preserve"> HYPERLINK "https://www.ecfr.gov/cgi-bin/retrieveECFR?gp=1&amp;ty=HTML&amp;h=L&amp;mc=true&amp;=PART&amp;n=pt49.5.382" \l "se49.5.382_1205"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382.205</w:t>
                      </w:r>
                      <w:r>
                        <w:fldChar w:fldCharType="end"/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71C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6411595</wp:posOffset>
                </wp:positionV>
                <wp:extent cx="1013460" cy="297180"/>
                <wp:effectExtent l="0" t="0" r="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41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382.705(d)(1)</w:t>
                              </w:r>
                            </w:hyperlink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width:79.8pt;height:23.4pt;margin-top:504.85pt;margin-left:3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8416" filled="f" stroked="f" strokeweight="0.5pt">
                <v:textbox>
                  <w:txbxContent>
                    <w:p w:rsidR="000571CB" w:rsidP="000571CB" w14:paraId="61238531" w14:textId="78A4BC1C">
                      <w:r>
                        <w:fldChar w:fldCharType="begin"/>
                      </w:r>
                      <w:r>
                        <w:instrText xml:space="preserve"> HYPERLINK "https://www.federalregister.gov/d/2016-27398/p-684"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382.705(d)(1)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2073910</wp:posOffset>
                </wp:positionV>
                <wp:extent cx="1371600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42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382.705(b)(5)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41" type="#_x0000_t202" style="width:108pt;height:21pt;margin-top:163.3pt;margin-left:100.8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6368" filled="f" stroked="f" strokeweight="0.5pt">
                <v:textbox>
                  <w:txbxContent>
                    <w:p w:rsidR="000571CB" w:rsidP="000571CB" w14:paraId="1642DE9B" w14:textId="78399431">
                      <w:r>
                        <w:fldChar w:fldCharType="begin"/>
                      </w:r>
                      <w:r>
                        <w:instrText xml:space="preserve"> HYPERLINK "https://www.federalregister.gov/d/2016-27398/p-674"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382.705(b)(5)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2075815</wp:posOffset>
                </wp:positionV>
                <wp:extent cx="998220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43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382.705(b)(4)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42" type="#_x0000_t202" style="width:78.6pt;height:21pt;margin-top:163.45pt;margin-left:3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4320" filled="f" stroked="f" strokeweight="0.5pt">
                <v:textbox>
                  <w:txbxContent>
                    <w:p w:rsidR="000571CB" w:rsidP="000571CB" w14:paraId="2B1DF736" w14:textId="0142F291">
                      <w:r>
                        <w:fldChar w:fldCharType="begin"/>
                      </w:r>
                      <w:r>
                        <w:instrText xml:space="preserve"> HYPERLINK "https://www.federalregister.gov/d/2016-27398/p-669"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382.705(b)(4)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71C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1363980</wp:posOffset>
                </wp:positionH>
                <wp:positionV relativeFrom="paragraph">
                  <wp:posOffset>6419215</wp:posOffset>
                </wp:positionV>
                <wp:extent cx="1371600" cy="266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Default="00532D40" w:rsidP="000571CB">
                            <w:hyperlink r:id="rId44" w:history="1">
                              <w:r w:rsidRPr="00934773">
                                <w:rPr>
                                  <w:rStyle w:val="Hyperlink"/>
                                  <w:b/>
                                  <w:sz w:val="20"/>
                                </w:rPr>
                                <w:t>382.705(d)(2)</w:t>
                              </w:r>
                            </w:hyperlink>
                          </w:p>
                          <w:p w:rsidR="000571CB" w:rsidRDefault="000571CB" w:rsidP="000571CB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43" type="#_x0000_t202" style="width:108pt;height:21pt;margin-top:505.45pt;margin-left:107.4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0464" filled="f" stroked="f" strokeweight="0.5pt">
                <v:textbox>
                  <w:txbxContent>
                    <w:p w:rsidR="000571CB" w:rsidP="000571CB" w14:paraId="25379879" w14:textId="77777777">
                      <w:r>
                        <w:fldChar w:fldCharType="begin"/>
                      </w:r>
                      <w:r>
                        <w:instrText xml:space="preserve"> HYPERLINK "https://www.federalregister.gov/d/2016-27398/p-689" </w:instrText>
                      </w:r>
                      <w:r>
                        <w:fldChar w:fldCharType="separate"/>
                      </w:r>
                      <w:r w:rsidRPr="00934773">
                        <w:rPr>
                          <w:rStyle w:val="Hyperlink"/>
                          <w:b/>
                          <w:sz w:val="20"/>
                        </w:rPr>
                        <w:t>382.705(d)(2)</w:t>
                      </w:r>
                      <w:r>
                        <w:fldChar w:fldCharType="end"/>
                      </w:r>
                    </w:p>
                    <w:p w:rsidR="000571CB" w:rsidP="000571CB" w14:paraId="2AFAD20F" w14:textId="67D659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1478280</wp:posOffset>
                </wp:positionH>
                <wp:positionV relativeFrom="paragraph">
                  <wp:posOffset>605155</wp:posOffset>
                </wp:positionV>
                <wp:extent cx="1371600" cy="2667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1CB" w:rsidRPr="00D807DD" w:rsidRDefault="00532D40" w:rsidP="000571CB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hyperlink r:id="rId45" w:anchor="se49.5.382_1207" w:history="1">
                              <w:r w:rsidRPr="00D807DD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382.207</w:t>
                              </w:r>
                            </w:hyperlink>
                            <w:r w:rsidRPr="00D807D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44" type="#_x0000_t202" style="width:108pt;height:21pt;margin-top:47.65pt;margin-left:116.4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98176" filled="f" stroked="f" strokeweight="0.5pt">
                <v:textbox>
                  <w:txbxContent>
                    <w:p w:rsidR="000571CB" w:rsidRPr="00D807DD" w:rsidP="000571CB" w14:paraId="763A0367" w14:textId="7A66E142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fldChar w:fldCharType="begin"/>
                      </w:r>
                      <w:r>
                        <w:instrText xml:space="preserve"> HYPERLINK "https://www.ecfr.gov/cgi-bin/retrieveECFR?gp=1&amp;ty=HTML&amp;h=L&amp;mc=true&amp;=PART&amp;n=pt49.5.382" \l "se49.5.382_1207"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  <w:sz w:val="20"/>
                          <w:szCs w:val="20"/>
                        </w:rPr>
                        <w:t>382.207</w:t>
                      </w:r>
                      <w:r>
                        <w:fldChar w:fldCharType="end"/>
                      </w:r>
                      <w:r w:rsidRPr="00D807DD"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4"/>
      <w:bookmarkEnd w:id="25"/>
      <w:bookmarkEnd w:id="26"/>
      <w:bookmarkEnd w:id="27"/>
      <w:bookmarkEnd w:id="28"/>
      <w:bookmarkEnd w:id="29"/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473B28" w:rsidRDefault="00473B28" w:rsidP="002D5F2C">
      <w:pPr>
        <w:pStyle w:val="Heading2"/>
      </w:pPr>
    </w:p>
    <w:p w:rsidR="008928AC" w:rsidRDefault="00532D40" w:rsidP="002D5F2C">
      <w:pPr>
        <w:pStyle w:val="Heading2"/>
      </w:pPr>
      <w:bookmarkStart w:id="30" w:name="_Toc22885677"/>
      <w:r>
        <w:lastRenderedPageBreak/>
        <w:t>Penalties</w:t>
      </w:r>
      <w:bookmarkEnd w:id="21"/>
      <w:bookmarkEnd w:id="30"/>
    </w:p>
    <w:p w:rsidR="006A54FD" w:rsidRDefault="00532D40" w:rsidP="006A54FD">
      <w:r>
        <w:t xml:space="preserve">When it comes to reporting, the FMCSA expects information provided </w:t>
      </w:r>
      <w:r w:rsidR="000C663B">
        <w:t>to be</w:t>
      </w:r>
      <w:r>
        <w:t xml:space="preserve"> truthful and accurate. An employer or service agent who knowingly submits false information to the Clearinghouse may be subject to criminal or civil penalties. Employers and</w:t>
      </w:r>
      <w:r>
        <w:t xml:space="preserve"> </w:t>
      </w:r>
      <w:r w:rsidR="00000727">
        <w:t>consortium/third-party administrators</w:t>
      </w:r>
      <w:r>
        <w:t xml:space="preserve"> are required to provide specific</w:t>
      </w:r>
      <w:r w:rsidR="00000727">
        <w:t xml:space="preserve"> </w:t>
      </w:r>
      <w:r>
        <w:t>documentation to support the reporting of actual knowledge or a refusal to test. The FMCSA will</w:t>
      </w:r>
      <w:r w:rsidR="00000727">
        <w:t xml:space="preserve"> </w:t>
      </w:r>
      <w:r>
        <w:t xml:space="preserve">remove information from a driver’s Clearinghouse record that is determined to be false. </w:t>
      </w:r>
    </w:p>
    <w:p w:rsidR="00C36979" w:rsidRDefault="00532D40" w:rsidP="006A54FD">
      <w:pPr>
        <w:pStyle w:val="Heading2"/>
      </w:pPr>
      <w:bookmarkStart w:id="31" w:name="_Toc19637442"/>
      <w:bookmarkStart w:id="32" w:name="_Toc22885678"/>
      <w:r>
        <w:t>Driver Notification and Consent</w:t>
      </w:r>
      <w:bookmarkEnd w:id="31"/>
      <w:bookmarkEnd w:id="32"/>
    </w:p>
    <w:p w:rsidR="00000727" w:rsidRDefault="00532D40" w:rsidP="00260699">
      <w:r>
        <w:t>There are specific steps employers need to follow in order to avoid violating the privacy of their drivers.</w:t>
      </w:r>
      <w:r w:rsidR="00260699">
        <w:t xml:space="preserve"> In fact, the Clearinghouse regulation explicitly states that motor carriers may not query the Clearinghouse without first obtaining </w:t>
      </w:r>
      <w:r w:rsidR="000C663B">
        <w:t xml:space="preserve">a </w:t>
      </w:r>
      <w:r w:rsidR="00260699">
        <w:t>driver’s written or electronic consent.</w:t>
      </w:r>
    </w:p>
    <w:p w:rsidR="00260699" w:rsidRDefault="00532D40" w:rsidP="00512893">
      <w:r>
        <w:t xml:space="preserve">The type of consent required depends on the type of query. For a limited query, general consent is required. This </w:t>
      </w:r>
      <w:r w:rsidR="000C663B">
        <w:t xml:space="preserve">must </w:t>
      </w:r>
      <w:r>
        <w:t xml:space="preserve">be obtained outside the Clearinghouse. Employers may obtain a </w:t>
      </w:r>
      <w:r w:rsidRPr="00763160">
        <w:t>multi</w:t>
      </w:r>
      <w:r>
        <w:t>year genera</w:t>
      </w:r>
      <w:r>
        <w:t>l consent from the driver for limited queries. For a full query, the driver must provide specific</w:t>
      </w:r>
      <w:r w:rsidR="00851765">
        <w:t>, prior</w:t>
      </w:r>
      <w:r>
        <w:t xml:space="preserve"> consent to the employer. This consent must be provided electronically within the Clearinghouse.</w:t>
      </w:r>
    </w:p>
    <w:p w:rsidR="00512893" w:rsidRDefault="00532D40" w:rsidP="00512893">
      <w:r w:rsidRPr="00512893">
        <w:t>The employer conducting the search must retain the cons</w:t>
      </w:r>
      <w:r w:rsidRPr="00512893">
        <w:t xml:space="preserve">ent for </w:t>
      </w:r>
      <w:r>
        <w:t>three</w:t>
      </w:r>
      <w:r w:rsidRPr="00512893">
        <w:t xml:space="preserve"> years from the date of the last query.</w:t>
      </w:r>
    </w:p>
    <w:p w:rsidR="006451B6" w:rsidRDefault="00532D40" w:rsidP="0000072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3600" cy="8604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44838" name="callou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1B6" w:rsidRDefault="006451B6" w:rsidP="00000727"/>
    <w:p w:rsidR="006451B6" w:rsidRDefault="006451B6" w:rsidP="00000727"/>
    <w:p w:rsidR="006451B6" w:rsidRDefault="006451B6" w:rsidP="00000727"/>
    <w:p w:rsidR="000D33A4" w:rsidRPr="000D33A4" w:rsidRDefault="00532D40" w:rsidP="00000727">
      <w:r w:rsidRPr="000D33A4">
        <w:t xml:space="preserve">Driver information will not be available to the public. Only authorized users will be able to register and access the Clearinghouse for designated purposes. The Clearinghouse will require </w:t>
      </w:r>
      <w:r w:rsidRPr="000D33A4">
        <w:t>authentication (</w:t>
      </w:r>
      <w:r w:rsidR="005A2A46">
        <w:t xml:space="preserve">a </w:t>
      </w:r>
      <w:r w:rsidRPr="000D33A4">
        <w:t>username</w:t>
      </w:r>
      <w:r w:rsidR="005A2A46">
        <w:t xml:space="preserve"> and </w:t>
      </w:r>
      <w:r w:rsidRPr="000D33A4">
        <w:t xml:space="preserve">password) to access records, and the </w:t>
      </w:r>
      <w:r w:rsidR="00512893" w:rsidRPr="000D33A4">
        <w:t xml:space="preserve">FMCSA must notify a driver when information concerning that driver has been added to, revised or removed from the Clearinghouse. </w:t>
      </w:r>
    </w:p>
    <w:p w:rsidR="00EE08DB" w:rsidRDefault="00532D40" w:rsidP="00000727">
      <w:r w:rsidRPr="000D33A4">
        <w:t xml:space="preserve">When information concerning </w:t>
      </w:r>
      <w:r w:rsidR="005A2A46">
        <w:t>a</w:t>
      </w:r>
      <w:r w:rsidRPr="000D33A4">
        <w:t xml:space="preserve"> driver has been released fro</w:t>
      </w:r>
      <w:r w:rsidRPr="000D33A4">
        <w:t xml:space="preserve">m the Clearinghouse to an employer, the </w:t>
      </w:r>
      <w:r w:rsidR="005A2A46">
        <w:t xml:space="preserve">employer </w:t>
      </w:r>
      <w:r w:rsidR="00851765">
        <w:t xml:space="preserve">must </w:t>
      </w:r>
      <w:r w:rsidRPr="000D33A4">
        <w:t>specify the reason for the release</w:t>
      </w:r>
      <w:r w:rsidR="00851765">
        <w:t xml:space="preserve"> in a </w:t>
      </w:r>
      <w:r w:rsidRPr="000D33A4">
        <w:t>notice</w:t>
      </w:r>
      <w:r w:rsidR="00851765">
        <w:t xml:space="preserve"> that also </w:t>
      </w:r>
      <w:r w:rsidRPr="000D33A4">
        <w:t>inform</w:t>
      </w:r>
      <w:r w:rsidR="00851765">
        <w:t>s</w:t>
      </w:r>
      <w:r w:rsidRPr="000D33A4">
        <w:t xml:space="preserve"> the driver how to access his or her information in the Clearinghouse</w:t>
      </w:r>
      <w:r>
        <w:t>.</w:t>
      </w:r>
    </w:p>
    <w:p w:rsidR="000D33A4" w:rsidRDefault="00532D40" w:rsidP="00EE08DB">
      <w:pPr>
        <w:pStyle w:val="Heading2"/>
      </w:pPr>
      <w:bookmarkStart w:id="33" w:name="_Toc19637443"/>
      <w:bookmarkStart w:id="34" w:name="_Toc22885679"/>
      <w:r w:rsidRPr="00EE08DB">
        <w:t xml:space="preserve">Updating </w:t>
      </w:r>
      <w:r w:rsidR="00761714">
        <w:t xml:space="preserve">Programs and </w:t>
      </w:r>
      <w:r w:rsidRPr="00EE08DB">
        <w:t xml:space="preserve">Policies on </w:t>
      </w:r>
      <w:r w:rsidR="00761714">
        <w:t xml:space="preserve">the </w:t>
      </w:r>
      <w:r w:rsidRPr="00EE08DB">
        <w:t>Misuse of Alcohol and Control</w:t>
      </w:r>
      <w:r w:rsidRPr="00EE08DB">
        <w:t>led Substances</w:t>
      </w:r>
      <w:bookmarkEnd w:id="33"/>
      <w:bookmarkEnd w:id="34"/>
    </w:p>
    <w:p w:rsidR="00EE08DB" w:rsidRDefault="00532D40" w:rsidP="00EE08DB">
      <w:r>
        <w:t xml:space="preserve">The </w:t>
      </w:r>
      <w:r w:rsidR="00761714">
        <w:t>FMCSA</w:t>
      </w:r>
      <w:r>
        <w:t>’s</w:t>
      </w:r>
      <w:r w:rsidRPr="00EE08DB">
        <w:t xml:space="preserve"> regulations require employers to provide </w:t>
      </w:r>
      <w:r w:rsidR="00761714">
        <w:t>their</w:t>
      </w:r>
      <w:r>
        <w:t xml:space="preserve"> drivers</w:t>
      </w:r>
      <w:r w:rsidRPr="00EE08DB">
        <w:t xml:space="preserve"> with educational materials about the FMCSA's drug and alcohol testing program requirements </w:t>
      </w:r>
      <w:r>
        <w:t>as well as about workplace</w:t>
      </w:r>
      <w:r w:rsidRPr="00EE08DB">
        <w:t xml:space="preserve"> policies for implementing those requirements. The new ru</w:t>
      </w:r>
      <w:r w:rsidRPr="00EE08DB">
        <w:t>le</w:t>
      </w:r>
      <w:r w:rsidR="00761714">
        <w:t xml:space="preserve"> also</w:t>
      </w:r>
      <w:r w:rsidRPr="00EE08DB">
        <w:t xml:space="preserve"> requires employers to include notice in the educational materials that violations of FMCSA's drug and alcohol testing program would be reported to the Clearinghouse.</w:t>
      </w:r>
    </w:p>
    <w:p w:rsidR="00761714" w:rsidRDefault="00532D40" w:rsidP="00EE08DB">
      <w:r>
        <w:t xml:space="preserve">One of the simplest ways to educate your drivers about the Clearinghouse and reduce the risk of impaired driving in your fleet is through </w:t>
      </w:r>
      <w:r w:rsidRPr="00761714">
        <w:t>controlled substance and alcohol testing programs</w:t>
      </w:r>
      <w:r>
        <w:t xml:space="preserve"> and policies.</w:t>
      </w:r>
    </w:p>
    <w:p w:rsidR="00761714" w:rsidRDefault="00532D40" w:rsidP="00761714">
      <w:pPr>
        <w:pStyle w:val="Heading3"/>
      </w:pPr>
      <w:bookmarkStart w:id="35" w:name="_Toc19637444"/>
      <w:bookmarkStart w:id="36" w:name="_Toc22885680"/>
      <w:r w:rsidRPr="00EF283B">
        <w:lastRenderedPageBreak/>
        <w:t>Controlled Substance and Alcohol Testing Program</w:t>
      </w:r>
      <w:r>
        <w:t>s</w:t>
      </w:r>
      <w:bookmarkEnd w:id="35"/>
      <w:bookmarkEnd w:id="36"/>
    </w:p>
    <w:p w:rsidR="00761714" w:rsidRDefault="00532D40" w:rsidP="00761714">
      <w:pPr>
        <w:spacing w:after="120"/>
      </w:pPr>
      <w:r w:rsidRPr="007E4C35">
        <w:t>As a</w:t>
      </w:r>
      <w:r w:rsidRPr="007E4C35">
        <w:t>n employer, you have a responsibility to implement drug and alcohol testing programs.</w:t>
      </w:r>
      <w:r>
        <w:t xml:space="preserve"> The primary goal of these programs is to ensure your fleet does not allow a driver to operate a commercial motor vehicle if:</w:t>
      </w:r>
    </w:p>
    <w:p w:rsidR="00761714" w:rsidRDefault="00532D40" w:rsidP="00761714">
      <w:pPr>
        <w:pStyle w:val="ListParagraph"/>
        <w:numPr>
          <w:ilvl w:val="0"/>
          <w:numId w:val="19"/>
        </w:numPr>
        <w:spacing w:after="120"/>
        <w:contextualSpacing w:val="0"/>
      </w:pPr>
      <w:r>
        <w:t>The driver receives a positive, adulterated o</w:t>
      </w:r>
      <w:r>
        <w:t>r substituted drug test result.</w:t>
      </w:r>
    </w:p>
    <w:p w:rsidR="00761714" w:rsidRDefault="00532D40" w:rsidP="00761714">
      <w:pPr>
        <w:pStyle w:val="ListParagraph"/>
        <w:numPr>
          <w:ilvl w:val="0"/>
          <w:numId w:val="19"/>
        </w:numPr>
        <w:spacing w:after="120"/>
        <w:contextualSpacing w:val="0"/>
      </w:pPr>
      <w:r>
        <w:t>The driver receives an alcohol confirmation test result of 0.04 or higher.</w:t>
      </w:r>
    </w:p>
    <w:p w:rsidR="00761714" w:rsidRDefault="00532D40" w:rsidP="00761714">
      <w:pPr>
        <w:pStyle w:val="ListParagraph"/>
        <w:numPr>
          <w:ilvl w:val="0"/>
          <w:numId w:val="19"/>
        </w:numPr>
        <w:spacing w:after="120"/>
        <w:contextualSpacing w:val="0"/>
      </w:pPr>
      <w:r>
        <w:t>The driver refuses to submit to a test for drugs or alcohol.</w:t>
      </w:r>
    </w:p>
    <w:p w:rsidR="00761714" w:rsidRDefault="00532D40" w:rsidP="00761714">
      <w:pPr>
        <w:pStyle w:val="ListParagraph"/>
        <w:numPr>
          <w:ilvl w:val="0"/>
          <w:numId w:val="19"/>
        </w:numPr>
        <w:spacing w:after="120"/>
        <w:contextualSpacing w:val="0"/>
      </w:pPr>
      <w:r>
        <w:t>The driver drank alcohol while performing safety-sensitive functions or within four hour</w:t>
      </w:r>
      <w:r>
        <w:t>s of performing safety-sensitive functions.</w:t>
      </w:r>
    </w:p>
    <w:p w:rsidR="00761714" w:rsidRDefault="00532D40" w:rsidP="00761714">
      <w:pPr>
        <w:pStyle w:val="ListParagraph"/>
        <w:numPr>
          <w:ilvl w:val="0"/>
          <w:numId w:val="19"/>
        </w:numPr>
        <w:spacing w:after="120"/>
        <w:contextualSpacing w:val="0"/>
      </w:pPr>
      <w:r>
        <w:t>The driver used a controlled substance.</w:t>
      </w:r>
    </w:p>
    <w:p w:rsidR="00761714" w:rsidRDefault="00532D40" w:rsidP="00761714">
      <w:pPr>
        <w:spacing w:after="120"/>
      </w:pPr>
      <w:r>
        <w:t>At a minimum, these programs should identify where and when employees will be tested. Again, the FMCSA has very specific requirements as to when drug and alcohol tests must</w:t>
      </w:r>
      <w:r>
        <w:t xml:space="preserve"> occur. As such, </w:t>
      </w:r>
      <w:r w:rsidR="00EA23FB">
        <w:t>employers must have an understanding of</w:t>
      </w:r>
      <w:r>
        <w:t xml:space="preserve"> these requirements and ensure drivers are being tested appropriately at certified testing facilities. The chart below </w:t>
      </w:r>
      <w:r w:rsidR="00851765">
        <w:t xml:space="preserve">lists the </w:t>
      </w:r>
      <w:r>
        <w:t>testing</w:t>
      </w:r>
      <w:r w:rsidR="00851765">
        <w:t xml:space="preserve"> types</w:t>
      </w:r>
      <w:r>
        <w:t xml:space="preserve"> and includes details of when </w:t>
      </w:r>
      <w:r w:rsidR="00851765">
        <w:t xml:space="preserve">each type of </w:t>
      </w:r>
      <w:r>
        <w:t xml:space="preserve">test should be </w:t>
      </w:r>
      <w:r>
        <w:t>administered:</w:t>
      </w:r>
    </w:p>
    <w:p w:rsidR="00761714" w:rsidRDefault="00532D40" w:rsidP="00761714">
      <w:pPr>
        <w:spacing w:after="120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43199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04120" name="when druge and alcohol 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532D40" w:rsidP="00761714">
      <w:pPr>
        <w:spacing w:after="120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3600" cy="67278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32284" name="when druge and alcohol 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532D40" w:rsidP="00761714">
      <w:pPr>
        <w:spacing w:after="120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943600" cy="55467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78581" name="when druge and alcohol 3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6451B6" w:rsidRDefault="006451B6" w:rsidP="00761714">
      <w:pPr>
        <w:spacing w:after="120"/>
      </w:pPr>
    </w:p>
    <w:p w:rsidR="00761714" w:rsidRDefault="00532D40" w:rsidP="00761714">
      <w:pPr>
        <w:pStyle w:val="Heading3"/>
      </w:pPr>
      <w:bookmarkStart w:id="37" w:name="_Toc19637445"/>
      <w:bookmarkStart w:id="38" w:name="_Toc22885681"/>
      <w:r>
        <w:t xml:space="preserve">Written Policies Related to Controlled Substance and Alcohol </w:t>
      </w:r>
      <w:r w:rsidRPr="001833A2">
        <w:t>Misuse</w:t>
      </w:r>
      <w:bookmarkEnd w:id="37"/>
      <w:bookmarkEnd w:id="38"/>
    </w:p>
    <w:p w:rsidR="00761714" w:rsidRDefault="00532D40" w:rsidP="00761714">
      <w:r w:rsidRPr="001833A2">
        <w:t xml:space="preserve">The FMCSA requires carriers to develop a written policy on controlled substance use and </w:t>
      </w:r>
      <w:r w:rsidRPr="001833A2">
        <w:t>alcohol misuse in the workplace as part of their drug and alcohol program</w:t>
      </w:r>
      <w:r w:rsidR="00013FBE">
        <w:t>s</w:t>
      </w:r>
      <w:r w:rsidRPr="001833A2">
        <w:t xml:space="preserve">. Carriers must </w:t>
      </w:r>
      <w:r w:rsidR="00EA103C">
        <w:t xml:space="preserve">also </w:t>
      </w:r>
      <w:r w:rsidRPr="001833A2">
        <w:t>communicate the contents of</w:t>
      </w:r>
      <w:r>
        <w:t xml:space="preserve"> this policy to their drivers.</w:t>
      </w:r>
    </w:p>
    <w:p w:rsidR="00761714" w:rsidRDefault="00532D40" w:rsidP="00761714">
      <w:r>
        <w:t xml:space="preserve">At minimum, </w:t>
      </w:r>
      <w:r w:rsidR="00013FBE">
        <w:t xml:space="preserve">a carrier’s written </w:t>
      </w:r>
      <w:r>
        <w:t>polic</w:t>
      </w:r>
      <w:r w:rsidR="00013FBE">
        <w:t>y</w:t>
      </w:r>
      <w:r>
        <w:t xml:space="preserve"> should contain: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A statement outlining the policy’s objectives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In</w:t>
      </w:r>
      <w:r>
        <w:t xml:space="preserve">formation regarding the effects of alcohol and controlled substances 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 xml:space="preserve">An overview of </w:t>
      </w:r>
      <w:r w:rsidR="00F16DB9">
        <w:t>which</w:t>
      </w:r>
      <w:r>
        <w:t xml:space="preserve"> drivers are subject to testing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A</w:t>
      </w:r>
      <w:r w:rsidR="00013FBE">
        <w:t>n explicit</w:t>
      </w:r>
      <w:r>
        <w:t xml:space="preserve"> statement that employee participation is required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lastRenderedPageBreak/>
        <w:t>Details regarding when employees must adhere to policy requirements (e.g</w:t>
      </w:r>
      <w:r>
        <w:t xml:space="preserve">., while on duty, four hours </w:t>
      </w:r>
      <w:r w:rsidRPr="00763160">
        <w:t>prior to</w:t>
      </w:r>
      <w:r>
        <w:t xml:space="preserve"> work or while performing safety-sensitive functions)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A list of prohibited behaviors and behaviors that constitute a refusal to submit to a test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A summary of when testing may occur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Details regarding testing procedures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T</w:t>
      </w:r>
      <w:r>
        <w:t>he consequences of failing a test</w:t>
      </w:r>
    </w:p>
    <w:p w:rsidR="00761714" w:rsidRDefault="00532D40" w:rsidP="00761714">
      <w:pPr>
        <w:pStyle w:val="ListParagraph"/>
        <w:numPr>
          <w:ilvl w:val="0"/>
          <w:numId w:val="21"/>
        </w:numPr>
        <w:spacing w:after="120"/>
        <w:contextualSpacing w:val="0"/>
      </w:pPr>
      <w:r>
        <w:t>The name of an individual who can answer questions related to the policy</w:t>
      </w:r>
    </w:p>
    <w:p w:rsidR="00761714" w:rsidRDefault="00532D40" w:rsidP="00761714">
      <w:pPr>
        <w:spacing w:after="120"/>
      </w:pPr>
      <w:r>
        <w:t>The FMCSA also requires carriers to secure a signed statement from each employee confirming that the</w:t>
      </w:r>
      <w:r w:rsidR="00013FBE">
        <w:t xml:space="preserve"> employee </w:t>
      </w:r>
      <w:r>
        <w:t>ha</w:t>
      </w:r>
      <w:r w:rsidR="00013FBE">
        <w:t>s</w:t>
      </w:r>
      <w:r>
        <w:t xml:space="preserve"> received the policy and understand</w:t>
      </w:r>
      <w:r w:rsidR="00013FBE">
        <w:t>s</w:t>
      </w:r>
      <w:r>
        <w:t xml:space="preserve"> what’s expected of </w:t>
      </w:r>
      <w:r w:rsidR="00013FBE">
        <w:t>him or her</w:t>
      </w:r>
      <w:r>
        <w:t>.</w:t>
      </w:r>
    </w:p>
    <w:p w:rsidR="00761714" w:rsidRDefault="00532D40" w:rsidP="00761714">
      <w:pPr>
        <w:spacing w:after="120"/>
      </w:pPr>
      <w:r>
        <w:t>As you develop your policy, consider involving other key members of your organization, like union representatives, medical review officers, SAPs, breath alcohol technicians and screening test technicians. It’s also important</w:t>
      </w:r>
      <w:r>
        <w:t xml:space="preserve"> to review your policy alongside legal representatives, who can help you ensure there are no conflicts between the provisions of your policy and FMCSA, federal, state</w:t>
      </w:r>
      <w:r w:rsidRPr="0099148E">
        <w:t xml:space="preserve"> or</w:t>
      </w:r>
      <w:r>
        <w:t xml:space="preserve"> local regulations.</w:t>
      </w:r>
    </w:p>
    <w:p w:rsidR="00EE08DB" w:rsidRDefault="00EE08DB" w:rsidP="00EE08DB"/>
    <w:p w:rsidR="00EE08DB" w:rsidRPr="00EE08DB" w:rsidRDefault="00EE08DB" w:rsidP="00EE08DB"/>
    <w:p w:rsidR="000D33A4" w:rsidRDefault="000D33A4" w:rsidP="00000727"/>
    <w:p w:rsidR="00EE08DB" w:rsidRDefault="00EE08DB" w:rsidP="00000727">
      <w:pPr>
        <w:sectPr w:rsidR="00EE08DB" w:rsidSect="006451B6"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6451B6" w:rsidRDefault="00532D40" w:rsidP="006451B6">
      <w:pPr>
        <w:pStyle w:val="Heading1"/>
      </w:pPr>
      <w:bookmarkStart w:id="39" w:name="_Toc19637446"/>
      <w:bookmarkStart w:id="40" w:name="_Toc22725970"/>
      <w:bookmarkStart w:id="41" w:name="_Toc22885682"/>
      <w:r>
        <w:lastRenderedPageBreak/>
        <w:t>Compliance Considerations: Drivers</w:t>
      </w:r>
      <w:bookmarkEnd w:id="39"/>
      <w:bookmarkEnd w:id="40"/>
      <w:bookmarkEnd w:id="41"/>
    </w:p>
    <w:p w:rsidR="00260699" w:rsidRDefault="00532D40" w:rsidP="00260699">
      <w:r>
        <w:t>Once a driver has re</w:t>
      </w:r>
      <w:r>
        <w:t xml:space="preserve">gistered </w:t>
      </w:r>
      <w:r w:rsidR="00224DD0">
        <w:t>for</w:t>
      </w:r>
      <w:r>
        <w:t xml:space="preserve"> the Clearinghouse, </w:t>
      </w:r>
      <w:r w:rsidR="00013FBE">
        <w:t xml:space="preserve">he or she </w:t>
      </w:r>
      <w:r>
        <w:t xml:space="preserve">will be able to </w:t>
      </w:r>
      <w:r w:rsidR="00013FBE">
        <w:t xml:space="preserve">electronically </w:t>
      </w:r>
      <w:r>
        <w:t xml:space="preserve">access </w:t>
      </w:r>
      <w:r w:rsidR="00013FBE">
        <w:t xml:space="preserve">his or her own </w:t>
      </w:r>
      <w:r w:rsidR="00A3443B">
        <w:t xml:space="preserve">driver </w:t>
      </w:r>
      <w:r>
        <w:t>record</w:t>
      </w:r>
      <w:r w:rsidR="00224DD0">
        <w:t>s</w:t>
      </w:r>
      <w:r>
        <w:t xml:space="preserve"> at no cost. </w:t>
      </w:r>
      <w:r w:rsidR="00224DD0">
        <w:t>R</w:t>
      </w:r>
      <w:r>
        <w:t>ecord</w:t>
      </w:r>
      <w:r w:rsidR="00224DD0">
        <w:t>s</w:t>
      </w:r>
      <w:r>
        <w:t xml:space="preserve"> </w:t>
      </w:r>
      <w:r w:rsidR="00224DD0">
        <w:t>will</w:t>
      </w:r>
      <w:r>
        <w:t xml:space="preserve"> include any violation information available in the Clearinghouse, along with the status of the</w:t>
      </w:r>
      <w:r w:rsidR="00013FBE">
        <w:t xml:space="preserve"> driver’s </w:t>
      </w:r>
      <w:r w:rsidR="00730B18">
        <w:t>RTD</w:t>
      </w:r>
      <w:r>
        <w:t xml:space="preserve"> process, if applicable.</w:t>
      </w:r>
    </w:p>
    <w:p w:rsidR="00260699" w:rsidRDefault="00532D40" w:rsidP="00260699">
      <w:r>
        <w:t>In addition, drivers can use the Clearinghouse to</w:t>
      </w:r>
      <w:r w:rsidR="00730B18">
        <w:t>:</w:t>
      </w:r>
    </w:p>
    <w:p w:rsidR="00260699" w:rsidRDefault="00532D40" w:rsidP="00260699">
      <w:pPr>
        <w:pStyle w:val="ListParagraph"/>
        <w:numPr>
          <w:ilvl w:val="0"/>
          <w:numId w:val="15"/>
        </w:numPr>
        <w:spacing w:after="120"/>
        <w:contextualSpacing w:val="0"/>
      </w:pPr>
      <w:r>
        <w:t>Provide consent to release detailed violation information to a current o</w:t>
      </w:r>
      <w:r>
        <w:t>r prospective employer</w:t>
      </w:r>
      <w:r w:rsidR="00A3443B">
        <w:t>; and</w:t>
      </w:r>
    </w:p>
    <w:p w:rsidR="00260699" w:rsidRDefault="00532D40" w:rsidP="00260699">
      <w:pPr>
        <w:pStyle w:val="ListParagraph"/>
        <w:numPr>
          <w:ilvl w:val="0"/>
          <w:numId w:val="15"/>
        </w:numPr>
        <w:spacing w:after="120"/>
        <w:contextualSpacing w:val="0"/>
      </w:pPr>
      <w:r>
        <w:t xml:space="preserve">Identify a SAP so that the SAP may enter specific information regarding the driver’s </w:t>
      </w:r>
      <w:r w:rsidR="00A3443B">
        <w:t>RTD</w:t>
      </w:r>
      <w:r>
        <w:t xml:space="preserve"> activities.</w:t>
      </w:r>
    </w:p>
    <w:p w:rsidR="00730B18" w:rsidRDefault="00532D40" w:rsidP="00730B18">
      <w:pPr>
        <w:spacing w:after="120"/>
      </w:pPr>
      <w:r>
        <w:t xml:space="preserve">The following sections </w:t>
      </w:r>
      <w:r w:rsidR="00236DF5">
        <w:t>will examine Clearinghouse compliance considerations from a driver’s perspective.</w:t>
      </w:r>
    </w:p>
    <w:p w:rsidR="00730B18" w:rsidRDefault="00532D40" w:rsidP="00730B18">
      <w:pPr>
        <w:pStyle w:val="Heading2"/>
      </w:pPr>
      <w:bookmarkStart w:id="42" w:name="_Toc19637447"/>
      <w:bookmarkStart w:id="43" w:name="_Toc22885683"/>
      <w:r>
        <w:t xml:space="preserve">Types of </w:t>
      </w:r>
      <w:r>
        <w:t>Drivers Affected by the Clearinghouse</w:t>
      </w:r>
      <w:bookmarkEnd w:id="42"/>
      <w:bookmarkEnd w:id="43"/>
    </w:p>
    <w:p w:rsidR="00730B18" w:rsidRDefault="00532D40" w:rsidP="00730B18">
      <w:r>
        <w:t>The Clearinghouse rule affects all CDL drivers who operate CMVs on public roads</w:t>
      </w:r>
      <w:r w:rsidR="00A3443B">
        <w:t xml:space="preserve">, which </w:t>
      </w:r>
      <w:r>
        <w:t>include</w:t>
      </w:r>
      <w:r w:rsidR="00D434ED">
        <w:t xml:space="preserve">, but </w:t>
      </w:r>
      <w:r w:rsidR="00A3443B">
        <w:t xml:space="preserve">are </w:t>
      </w:r>
      <w:r w:rsidR="00D434ED">
        <w:t>not limited to</w:t>
      </w:r>
      <w:r w:rsidR="00A3443B">
        <w:t>:</w:t>
      </w:r>
    </w:p>
    <w:p w:rsidR="00CC70EA" w:rsidRDefault="00532D40" w:rsidP="003D061C">
      <w:pPr>
        <w:spacing w:after="12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4518025</wp:posOffset>
            </wp:positionV>
            <wp:extent cx="5943600" cy="2651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37787" name="icon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CC70EA" w:rsidRDefault="00CC70EA" w:rsidP="003D061C">
      <w:pPr>
        <w:spacing w:after="120"/>
      </w:pPr>
    </w:p>
    <w:p w:rsidR="003D061C" w:rsidRDefault="00532D40" w:rsidP="003D061C">
      <w:pPr>
        <w:spacing w:after="120"/>
      </w:pPr>
      <w:r>
        <w:t xml:space="preserve">In addition, </w:t>
      </w:r>
      <w:r w:rsidR="00CE4DCA">
        <w:t>owner</w:t>
      </w:r>
      <w:r>
        <w:t xml:space="preserve">-operators </w:t>
      </w:r>
      <w:r w:rsidR="00CE4DCA">
        <w:t xml:space="preserve">are subject to Clearinghouse regulations from both an employer and employee </w:t>
      </w:r>
      <w:r w:rsidR="00D434ED">
        <w:t>standpoint</w:t>
      </w:r>
      <w:r w:rsidR="00CE4DCA">
        <w:t>. To help fulfil</w:t>
      </w:r>
      <w:r w:rsidR="00B83B53">
        <w:t>l</w:t>
      </w:r>
      <w:r w:rsidR="00CE4DCA">
        <w:t xml:space="preserve"> their obligations, owner-operators must designate a consortium/third-party administrator as part of the registration process.</w:t>
      </w:r>
      <w:r w:rsidR="0076152F">
        <w:t xml:space="preserve"> These administrators will run queries and report violations on the owner-operator’s behalf.</w:t>
      </w:r>
    </w:p>
    <w:p w:rsidR="005504F7" w:rsidRDefault="00532D40" w:rsidP="005504F7">
      <w:pPr>
        <w:spacing w:after="120"/>
      </w:pPr>
      <w:r>
        <w:t>Drivers who have questions regarding the Clearinghouse and the role they play should be encouraged to speak with their supervisor</w:t>
      </w:r>
      <w:r w:rsidR="00A3443B">
        <w:t>s</w:t>
      </w:r>
      <w:r>
        <w:t>.</w:t>
      </w:r>
    </w:p>
    <w:p w:rsidR="00730B18" w:rsidRDefault="00532D40" w:rsidP="005504F7">
      <w:pPr>
        <w:pStyle w:val="Heading2"/>
      </w:pPr>
      <w:bookmarkStart w:id="44" w:name="_Toc19637448"/>
      <w:bookmarkStart w:id="45" w:name="_Toc22885684"/>
      <w:r>
        <w:lastRenderedPageBreak/>
        <w:t>Data Privacy and Providing Consent</w:t>
      </w:r>
      <w:bookmarkEnd w:id="44"/>
      <w:bookmarkEnd w:id="45"/>
    </w:p>
    <w:p w:rsidR="005504F7" w:rsidRDefault="00532D40" w:rsidP="005504F7">
      <w:r w:rsidRPr="005504F7">
        <w:t>The Clearinghouse will meet all relevant federal security standards, and the FMC</w:t>
      </w:r>
      <w:r w:rsidRPr="005504F7">
        <w:t xml:space="preserve">SA will verify the effectiveness of </w:t>
      </w:r>
      <w:r w:rsidR="00D434ED">
        <w:t>data</w:t>
      </w:r>
      <w:r w:rsidRPr="005504F7">
        <w:t xml:space="preserve"> protections on a regular basis. </w:t>
      </w:r>
      <w:r>
        <w:t>Again, d</w:t>
      </w:r>
      <w:r w:rsidRPr="005504F7">
        <w:t>river information will not be available to the public.</w:t>
      </w:r>
    </w:p>
    <w:p w:rsidR="00B43633" w:rsidRDefault="00532D40" w:rsidP="005504F7">
      <w:r w:rsidRPr="00B43633">
        <w:t xml:space="preserve">The FMCSA will only share detailed drug and alcohol violation information with prospective or current employers </w:t>
      </w:r>
      <w:r>
        <w:t xml:space="preserve">when a </w:t>
      </w:r>
      <w:r w:rsidRPr="00B43633">
        <w:t>d</w:t>
      </w:r>
      <w:r w:rsidRPr="00B43633">
        <w:t>river</w:t>
      </w:r>
      <w:r>
        <w:t xml:space="preserve"> has provided explicit consent</w:t>
      </w:r>
      <w:r w:rsidRPr="00B43633">
        <w:t xml:space="preserve">. </w:t>
      </w:r>
      <w:r>
        <w:t>What’s more, d</w:t>
      </w:r>
      <w:r w:rsidRPr="00B43633">
        <w:t xml:space="preserve">river information will </w:t>
      </w:r>
      <w:r>
        <w:t xml:space="preserve">only </w:t>
      </w:r>
      <w:r w:rsidRPr="00B43633">
        <w:t xml:space="preserve">be shared with the FMCSA and other enforcement agencies as required. </w:t>
      </w:r>
    </w:p>
    <w:p w:rsidR="00D434ED" w:rsidRDefault="00532D40" w:rsidP="005504F7">
      <w:r>
        <w:t xml:space="preserve">There are effectively two types of consent—one for limited queries, and another for full queries. The </w:t>
      </w:r>
      <w:r>
        <w:t>table below outlines the distinctions between these two types of consent.</w:t>
      </w:r>
    </w:p>
    <w:p w:rsidR="00F87229" w:rsidRDefault="00532D40" w:rsidP="005504F7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63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32730" name="the two types of consen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BCD" w:rsidRDefault="00B35BCD" w:rsidP="00B35BCD"/>
    <w:p w:rsidR="006451B6" w:rsidRDefault="006451B6" w:rsidP="00B35BCD"/>
    <w:p w:rsidR="006451B6" w:rsidRDefault="006451B6" w:rsidP="00B35BCD"/>
    <w:p w:rsidR="006451B6" w:rsidRDefault="006451B6" w:rsidP="00B35BCD"/>
    <w:p w:rsidR="006451B6" w:rsidRDefault="006451B6" w:rsidP="00B35BCD"/>
    <w:p w:rsidR="006451B6" w:rsidRDefault="006451B6" w:rsidP="00B35BCD"/>
    <w:p w:rsidR="007C7D9B" w:rsidRDefault="00532D40" w:rsidP="00B35BCD">
      <w:r w:rsidRPr="000571C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770255</wp:posOffset>
                </wp:positionH>
                <wp:positionV relativeFrom="paragraph">
                  <wp:posOffset>106827</wp:posOffset>
                </wp:positionV>
                <wp:extent cx="660400" cy="2749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7D9B" w:rsidRPr="007C7D9B" w:rsidRDefault="00532D40" w:rsidP="007C7D9B">
                            <w:pPr>
                              <w:rPr>
                                <w:sz w:val="20"/>
                              </w:rPr>
                            </w:pPr>
                            <w:hyperlink r:id="rId52" w:history="1">
                              <w:r w:rsidRPr="007C7D9B">
                                <w:rPr>
                                  <w:rStyle w:val="Hyperlink"/>
                                  <w:sz w:val="20"/>
                                </w:rPr>
                                <w:t>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width:52pt;height:21.65pt;margin-top:8.4pt;margin-left:60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24800" filled="f" stroked="f" strokeweight="0.5pt">
                <v:textbox>
                  <w:txbxContent>
                    <w:p w:rsidR="007C7D9B" w:rsidRPr="007C7D9B" w:rsidP="007C7D9B" w14:paraId="193BBEFC" w14:textId="3740E69D">
                      <w:pPr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"https://clearinghouse.fmcsa.dot.gov/Resource/Index/Sample-Limited-Consent-Form" </w:instrText>
                      </w:r>
                      <w:r>
                        <w:fldChar w:fldCharType="separate"/>
                      </w:r>
                      <w:r w:rsidRPr="007C7D9B">
                        <w:rPr>
                          <w:rStyle w:val="Hyperlink"/>
                          <w:sz w:val="20"/>
                        </w:rPr>
                        <w:t>he</w:t>
                      </w:r>
                      <w:r w:rsidRPr="007C7D9B">
                        <w:rPr>
                          <w:rStyle w:val="Hyperlink"/>
                          <w:sz w:val="20"/>
                        </w:rPr>
                        <w:t>r</w:t>
                      </w:r>
                      <w:r w:rsidRPr="007C7D9B">
                        <w:rPr>
                          <w:rStyle w:val="Hyperlink"/>
                          <w:sz w:val="20"/>
                        </w:rPr>
                        <w:t>e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7D9B" w:rsidRDefault="007C7D9B" w:rsidP="00B35BCD"/>
    <w:p w:rsidR="007C7D9B" w:rsidRDefault="007C7D9B" w:rsidP="00B35BCD"/>
    <w:p w:rsidR="003D061C" w:rsidRDefault="00532D40" w:rsidP="003D061C">
      <w:r w:rsidRPr="003B3C10">
        <w:t>If a driver refuses to provide consent, they will not be allowed to perform safety-sensitive functions.</w:t>
      </w:r>
      <w:r w:rsidR="003B3C10" w:rsidRPr="003B3C10">
        <w:t xml:space="preserve"> Drivers will have the right to request that inaccurate information in the Clearinghouse be corrected or removed. </w:t>
      </w:r>
      <w:r>
        <w:t>However, drivers may only challenge the accuracy of information reported, not the accuracy or validity of test results or refusals</w:t>
      </w:r>
      <w:r w:rsidR="00AF06D4">
        <w:t xml:space="preserve"> to test</w:t>
      </w:r>
      <w:r>
        <w:t>.</w:t>
      </w:r>
    </w:p>
    <w:p w:rsidR="003B3C10" w:rsidRPr="005504F7" w:rsidRDefault="00532D40" w:rsidP="003B3C10">
      <w:r w:rsidRPr="003B3C10">
        <w:t>It should be noted that drivers will only be able to</w:t>
      </w:r>
      <w:r w:rsidRPr="003B3C10">
        <w:t xml:space="preserve"> access their own information, not information </w:t>
      </w:r>
      <w:r w:rsidR="00AF06D4">
        <w:t>regarding</w:t>
      </w:r>
      <w:r w:rsidR="00AF06D4" w:rsidRPr="003B3C10">
        <w:t xml:space="preserve"> </w:t>
      </w:r>
      <w:r w:rsidRPr="003B3C10">
        <w:t>other drivers.</w:t>
      </w:r>
    </w:p>
    <w:p w:rsidR="0076152F" w:rsidRDefault="0076152F" w:rsidP="00B35BCD">
      <w:pPr>
        <w:sectPr w:rsidR="0076152F" w:rsidSect="006451B6"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6451B6" w:rsidRDefault="00532D40" w:rsidP="006451B6">
      <w:pPr>
        <w:pStyle w:val="Heading1"/>
      </w:pPr>
      <w:bookmarkStart w:id="46" w:name="_Toc19637449"/>
      <w:bookmarkStart w:id="47" w:name="_Toc22725971"/>
      <w:bookmarkStart w:id="48" w:name="_Toc22885685"/>
      <w:r>
        <w:lastRenderedPageBreak/>
        <w:t>Continued Safety</w:t>
      </w:r>
      <w:bookmarkEnd w:id="46"/>
      <w:bookmarkEnd w:id="47"/>
      <w:bookmarkEnd w:id="48"/>
    </w:p>
    <w:p w:rsidR="0076152F" w:rsidRDefault="00532D40" w:rsidP="0076152F">
      <w:r>
        <w:t>As an employer, it’s your job to protect your drivers whenever they’re on</w:t>
      </w:r>
      <w:r w:rsidR="002876EB">
        <w:t xml:space="preserve"> duty</w:t>
      </w:r>
      <w:r>
        <w:t>. Utilizing the Clearinghouse will not only ensure FMCSA compliance, but it will</w:t>
      </w:r>
      <w:r>
        <w:t xml:space="preserve"> help prevent impaired driving in your fleet and improve highway safety for everyone on the road. </w:t>
      </w:r>
    </w:p>
    <w:p w:rsidR="00F04B61" w:rsidRDefault="00532D40" w:rsidP="0076152F">
      <w:pPr>
        <w:sectPr w:rsidR="00F04B61" w:rsidSect="006451B6"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  <w:r>
        <w:t xml:space="preserve">However, there’s more to driver safety than drug and alcohol program compliance. To safeguard the </w:t>
      </w:r>
      <w:r w:rsidR="00763160">
        <w:t>well-being</w:t>
      </w:r>
      <w:r>
        <w:t xml:space="preserve"> of your employees and to proactively add</w:t>
      </w:r>
      <w:r>
        <w:t xml:space="preserve">ress all of your exposures, contact HNI  </w:t>
      </w:r>
      <w:r w:rsidRPr="00763160">
        <w:t>today</w:t>
      </w:r>
      <w:r>
        <w:t>. We can provide a number of risk management resources to help you account for common motor carrier pain points, allowing you to focus on growing your business.</w:t>
      </w:r>
    </w:p>
    <w:p w:rsidR="004A2FEE" w:rsidRDefault="004A2FEE" w:rsidP="00F04B61"/>
    <w:p w:rsidR="004A2FEE" w:rsidRDefault="004A2FEE" w:rsidP="00F04B61">
      <w:pPr>
        <w:sectPr w:rsidR="004A2FEE" w:rsidSect="006451B6">
          <w:headerReference w:type="default" r:id="rId53"/>
          <w:pgSz w:w="12240" w:h="15840"/>
          <w:pgMar w:top="1800" w:right="1440" w:bottom="1440" w:left="1440" w:header="720" w:footer="720" w:gutter="0"/>
          <w:cols w:space="720"/>
          <w:docGrid w:linePitch="360"/>
        </w:sectPr>
      </w:pPr>
    </w:p>
    <w:p w:rsidR="00F04B61" w:rsidRPr="00F04B61" w:rsidRDefault="00532D40" w:rsidP="00F04B61">
      <w:pPr>
        <w:pStyle w:val="Heading1"/>
      </w:pPr>
      <w:bookmarkStart w:id="49" w:name="_Toc19637451"/>
      <w:bookmarkStart w:id="50" w:name="_Toc22725972"/>
      <w:bookmarkStart w:id="51" w:name="_Toc22885686"/>
      <w:r>
        <w:lastRenderedPageBreak/>
        <w:t>C</w:t>
      </w:r>
      <w:r w:rsidR="00AD5358">
        <w:t>learinghouse</w:t>
      </w:r>
      <w:r>
        <w:t xml:space="preserve"> FAQ</w:t>
      </w:r>
      <w:bookmarkEnd w:id="49"/>
      <w:r w:rsidR="001544A9">
        <w:t>s</w:t>
      </w:r>
      <w:bookmarkEnd w:id="50"/>
      <w:bookmarkEnd w:id="51"/>
    </w:p>
    <w:p w:rsidR="002F21EF" w:rsidRDefault="00532D40" w:rsidP="002F21EF">
      <w:r>
        <w:t xml:space="preserve">Use this list of </w:t>
      </w:r>
      <w:r>
        <w:t>frequently asked questions to help your fleet meet CDL Drug and Alcohol Clearinghouse requirements.</w:t>
      </w:r>
    </w:p>
    <w:p w:rsidR="00661448" w:rsidRDefault="00532D40" w:rsidP="002F21EF">
      <w:pPr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9948</wp:posOffset>
            </wp:positionV>
            <wp:extent cx="5943600" cy="91128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1597" name="question page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532D40" w:rsidP="002F21EF">
      <w:pPr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14182</wp:posOffset>
            </wp:positionV>
            <wp:extent cx="5943600" cy="78587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6960" name="question pag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448" w:rsidRDefault="00661448" w:rsidP="002F21EF">
      <w:pPr>
        <w:rPr>
          <w:b/>
          <w:highlight w:val="yellow"/>
        </w:rPr>
      </w:pPr>
    </w:p>
    <w:p w:rsidR="00661448" w:rsidRDefault="00532D40" w:rsidP="002F21EF">
      <w:pPr>
        <w:rPr>
          <w:b/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235162</wp:posOffset>
                </wp:positionV>
                <wp:extent cx="1151467" cy="304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448" w:rsidRPr="00D807DD" w:rsidRDefault="00532D40">
                            <w:pPr>
                              <w:rPr>
                                <w:b/>
                              </w:rPr>
                            </w:pPr>
                            <w:hyperlink r:id="rId56" w:anchor="se49.5.382_1703" w:tgtFrame="_blank" w:history="1">
                              <w:r w:rsidRPr="00D807DD">
                                <w:rPr>
                                  <w:rStyle w:val="Hyperlink"/>
                                  <w:b/>
                                </w:rPr>
                                <w:t>49 CFR Part 382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width:90.65pt;height:24pt;margin-top:18.5pt;margin-left:8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0528" filled="f" stroked="f" strokeweight="0.5pt">
                <v:textbox>
                  <w:txbxContent>
                    <w:p w:rsidR="00661448" w:rsidRPr="00D807DD" w14:paraId="2F5DA954" w14:textId="219A26B7">
                      <w:pPr>
                        <w:rPr>
                          <w:b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"https://www.ecfr.gov/cgi-bin/retrieveECFR?gp=1&amp;ty=HTML&amp;h=L&amp;mc=true&amp;=PART&amp;n=pt49.5.382" \l "se49.5.382_1703" \t "_blank"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</w:rPr>
                        <w:t>49 CFR Part 382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661448" w:rsidRDefault="00661448" w:rsidP="002F21EF">
      <w:pPr>
        <w:rPr>
          <w:b/>
          <w:highlight w:val="yellow"/>
        </w:rPr>
      </w:pPr>
    </w:p>
    <w:p w:rsidR="00661448" w:rsidRDefault="00532D40" w:rsidP="002F21EF">
      <w:pPr>
        <w:rPr>
          <w:b/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4436110</wp:posOffset>
                </wp:positionH>
                <wp:positionV relativeFrom="paragraph">
                  <wp:posOffset>27517</wp:posOffset>
                </wp:positionV>
                <wp:extent cx="1490134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13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448" w:rsidRPr="00D807DD" w:rsidRDefault="00532D40" w:rsidP="00661448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</w:rPr>
                              <w:t>§ </w:t>
                            </w:r>
                            <w:hyperlink r:id="rId57" w:tgtFrame="_blank" w:history="1">
                              <w:r w:rsidRPr="00D807DD">
                                <w:rPr>
                                  <w:rStyle w:val="Hyperlink"/>
                                  <w:b/>
                                </w:rPr>
                                <w:t>391.23(e)(4)(i)(B))</w:t>
                              </w:r>
                            </w:hyperlink>
                            <w:r w:rsidRPr="00D807DD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width:117.35pt;height:24pt;margin-top:2.15pt;margin-left:349.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2576" filled="f" stroked="f" strokeweight="0.5pt">
                <v:textbox>
                  <w:txbxContent>
                    <w:p w:rsidR="00661448" w:rsidRPr="00D807DD" w:rsidP="00661448" w14:paraId="7D945DCC" w14:textId="64CC79BA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</w:rPr>
                        <w:t>§ </w:t>
                      </w:r>
                      <w:r>
                        <w:fldChar w:fldCharType="begin"/>
                      </w:r>
                      <w:r>
                        <w:instrText xml:space="preserve"> HYPERLINK "https://www.fmcsa.dot.gov/regulations/title49/section/391.23" \t "_blank"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</w:rPr>
                        <w:t>391.23(e)(4)(</w:t>
                      </w:r>
                      <w:r w:rsidRPr="00D807DD">
                        <w:rPr>
                          <w:rStyle w:val="Hyperlink"/>
                          <w:b/>
                        </w:rPr>
                        <w:t>i</w:t>
                      </w:r>
                      <w:r w:rsidRPr="00D807DD">
                        <w:rPr>
                          <w:rStyle w:val="Hyperlink"/>
                          <w:b/>
                        </w:rPr>
                        <w:t>)(B))</w:t>
                      </w:r>
                      <w:r>
                        <w:fldChar w:fldCharType="end"/>
                      </w:r>
                      <w:r w:rsidRPr="00D807DD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532D40" w:rsidP="002F21EF">
      <w:pPr>
        <w:rPr>
          <w:b/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1962362</wp:posOffset>
                </wp:positionH>
                <wp:positionV relativeFrom="paragraph">
                  <wp:posOffset>233680</wp:posOffset>
                </wp:positionV>
                <wp:extent cx="1227667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66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448" w:rsidRPr="00D807DD" w:rsidRDefault="00532D40" w:rsidP="00661448">
                            <w:pPr>
                              <w:rPr>
                                <w:b/>
                              </w:rPr>
                            </w:pPr>
                            <w:r w:rsidRPr="00D807DD">
                              <w:rPr>
                                <w:b/>
                                <w:color w:val="000000"/>
                              </w:rPr>
                              <w:t>§</w:t>
                            </w:r>
                            <w:r w:rsidRPr="00D807DD">
                              <w:rPr>
                                <w:b/>
                              </w:rPr>
                              <w:t> </w:t>
                            </w:r>
                            <w:hyperlink r:id="rId58" w:tgtFrame="_blank" w:history="1">
                              <w:r w:rsidRPr="00D807DD">
                                <w:rPr>
                                  <w:rStyle w:val="Hyperlink"/>
                                  <w:b/>
                                </w:rPr>
                                <w:t>382.305 (n)(0)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width:96.65pt;height:24pt;margin-top:18.4pt;margin-left:154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  <v:textbox>
                  <w:txbxContent>
                    <w:p w:rsidR="00661448" w:rsidRPr="00D807DD" w:rsidP="00661448" w14:paraId="05CBE69B" w14:textId="6F23EC93">
                      <w:pPr>
                        <w:rPr>
                          <w:b/>
                        </w:rPr>
                      </w:pPr>
                      <w:r w:rsidRPr="00D807DD">
                        <w:rPr>
                          <w:b/>
                          <w:color w:val="000000"/>
                        </w:rPr>
                        <w:t>§</w:t>
                      </w:r>
                      <w:r w:rsidRPr="00D807DD">
                        <w:rPr>
                          <w:b/>
                        </w:rPr>
                        <w:t> </w:t>
                      </w:r>
                      <w:r>
                        <w:fldChar w:fldCharType="begin"/>
                      </w:r>
                      <w:r>
                        <w:instrText xml:space="preserve"> HYPERLINK "https://www.fmcsa.dot.gov/regulations/title49/section/382.305" \t "_blank" </w:instrText>
                      </w:r>
                      <w:r>
                        <w:fldChar w:fldCharType="separate"/>
                      </w:r>
                      <w:r w:rsidRPr="00D807DD">
                        <w:rPr>
                          <w:rStyle w:val="Hyperlink"/>
                          <w:b/>
                        </w:rPr>
                        <w:t>382.305 (n)(0)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661448" w:rsidRDefault="00661448" w:rsidP="002F21EF">
      <w:pPr>
        <w:rPr>
          <w:b/>
          <w:highlight w:val="yellow"/>
        </w:rPr>
      </w:pPr>
    </w:p>
    <w:p w:rsidR="00FD722E" w:rsidRPr="00FD722E" w:rsidRDefault="00FD722E" w:rsidP="002F21EF"/>
    <w:sectPr w:rsidR="00FD722E" w:rsidRPr="00FD722E" w:rsidSect="00AD5358">
      <w:headerReference w:type="default" r:id="rId59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D40" w:rsidRDefault="00532D40">
      <w:pPr>
        <w:spacing w:after="0" w:line="240" w:lineRule="auto"/>
      </w:pPr>
      <w:r>
        <w:separator/>
      </w:r>
    </w:p>
  </w:endnote>
  <w:endnote w:type="continuationSeparator" w:id="0">
    <w:p w:rsidR="00532D40" w:rsidRDefault="00532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805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1331" w:rsidRDefault="00532D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331" w:rsidRDefault="002D1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D40" w:rsidRDefault="00532D40">
      <w:pPr>
        <w:spacing w:after="0" w:line="240" w:lineRule="auto"/>
      </w:pPr>
      <w:r>
        <w:separator/>
      </w:r>
    </w:p>
  </w:footnote>
  <w:footnote w:type="continuationSeparator" w:id="0">
    <w:p w:rsidR="00532D40" w:rsidRDefault="00532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1B6" w:rsidRDefault="00532D4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362" cy="10058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110642" name="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0D3" w:rsidRDefault="00532D4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2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DDA" w:rsidRDefault="00532D4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362" cy="100584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47735" name="append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DDA" w:rsidRDefault="00532D4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-469900</wp:posOffset>
          </wp:positionV>
          <wp:extent cx="7772362" cy="10058400"/>
          <wp:effectExtent l="0" t="0" r="635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5536232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60ADA"/>
    <w:multiLevelType w:val="hybridMultilevel"/>
    <w:tmpl w:val="ED94FEB8"/>
    <w:lvl w:ilvl="0" w:tplc="621AE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E3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2A3F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96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2C7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68E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03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AD2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D0F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B49D9"/>
    <w:multiLevelType w:val="hybridMultilevel"/>
    <w:tmpl w:val="89A02F4E"/>
    <w:lvl w:ilvl="0" w:tplc="381E6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61A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002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A3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29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D093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D250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0B3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96E4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6591E"/>
    <w:multiLevelType w:val="hybridMultilevel"/>
    <w:tmpl w:val="2996D172"/>
    <w:lvl w:ilvl="0" w:tplc="99A61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2ECA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A22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463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6B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2C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E80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2C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407E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34FC"/>
    <w:multiLevelType w:val="hybridMultilevel"/>
    <w:tmpl w:val="B79206F8"/>
    <w:lvl w:ilvl="0" w:tplc="27381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F43B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6E5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2D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40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7E3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483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E86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C7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223AD"/>
    <w:multiLevelType w:val="hybridMultilevel"/>
    <w:tmpl w:val="CFA218E4"/>
    <w:lvl w:ilvl="0" w:tplc="8866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B2C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CD2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3290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3C2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8C54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62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AA08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1E0D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6666F"/>
    <w:multiLevelType w:val="hybridMultilevel"/>
    <w:tmpl w:val="E3D4F9D4"/>
    <w:lvl w:ilvl="0" w:tplc="0256EE8E">
      <w:start w:val="1"/>
      <w:numFmt w:val="decimal"/>
      <w:lvlText w:val="%1."/>
      <w:lvlJc w:val="left"/>
      <w:pPr>
        <w:ind w:left="720" w:hanging="360"/>
      </w:pPr>
    </w:lvl>
    <w:lvl w:ilvl="1" w:tplc="56766608" w:tentative="1">
      <w:start w:val="1"/>
      <w:numFmt w:val="lowerLetter"/>
      <w:lvlText w:val="%2."/>
      <w:lvlJc w:val="left"/>
      <w:pPr>
        <w:ind w:left="1440" w:hanging="360"/>
      </w:pPr>
    </w:lvl>
    <w:lvl w:ilvl="2" w:tplc="A82ADAEC" w:tentative="1">
      <w:start w:val="1"/>
      <w:numFmt w:val="lowerRoman"/>
      <w:lvlText w:val="%3."/>
      <w:lvlJc w:val="right"/>
      <w:pPr>
        <w:ind w:left="2160" w:hanging="180"/>
      </w:pPr>
    </w:lvl>
    <w:lvl w:ilvl="3" w:tplc="0DFCF3C0" w:tentative="1">
      <w:start w:val="1"/>
      <w:numFmt w:val="decimal"/>
      <w:lvlText w:val="%4."/>
      <w:lvlJc w:val="left"/>
      <w:pPr>
        <w:ind w:left="2880" w:hanging="360"/>
      </w:pPr>
    </w:lvl>
    <w:lvl w:ilvl="4" w:tplc="B296C47A" w:tentative="1">
      <w:start w:val="1"/>
      <w:numFmt w:val="lowerLetter"/>
      <w:lvlText w:val="%5."/>
      <w:lvlJc w:val="left"/>
      <w:pPr>
        <w:ind w:left="3600" w:hanging="360"/>
      </w:pPr>
    </w:lvl>
    <w:lvl w:ilvl="5" w:tplc="32A67ED6" w:tentative="1">
      <w:start w:val="1"/>
      <w:numFmt w:val="lowerRoman"/>
      <w:lvlText w:val="%6."/>
      <w:lvlJc w:val="right"/>
      <w:pPr>
        <w:ind w:left="4320" w:hanging="180"/>
      </w:pPr>
    </w:lvl>
    <w:lvl w:ilvl="6" w:tplc="39C0D31A" w:tentative="1">
      <w:start w:val="1"/>
      <w:numFmt w:val="decimal"/>
      <w:lvlText w:val="%7."/>
      <w:lvlJc w:val="left"/>
      <w:pPr>
        <w:ind w:left="5040" w:hanging="360"/>
      </w:pPr>
    </w:lvl>
    <w:lvl w:ilvl="7" w:tplc="3F1A4EE6" w:tentative="1">
      <w:start w:val="1"/>
      <w:numFmt w:val="lowerLetter"/>
      <w:lvlText w:val="%8."/>
      <w:lvlJc w:val="left"/>
      <w:pPr>
        <w:ind w:left="5760" w:hanging="360"/>
      </w:pPr>
    </w:lvl>
    <w:lvl w:ilvl="8" w:tplc="47B2F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365A3"/>
    <w:multiLevelType w:val="hybridMultilevel"/>
    <w:tmpl w:val="B33C9C6A"/>
    <w:lvl w:ilvl="0" w:tplc="F11A0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48E9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F6C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E4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86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CCFB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60E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5E5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CE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B7600"/>
    <w:multiLevelType w:val="hybridMultilevel"/>
    <w:tmpl w:val="4FF01BDC"/>
    <w:lvl w:ilvl="0" w:tplc="F468D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3E8A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66C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28F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6B2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2AE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A014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C8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B046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D4CC7"/>
    <w:multiLevelType w:val="hybridMultilevel"/>
    <w:tmpl w:val="763AFA3E"/>
    <w:lvl w:ilvl="0" w:tplc="C1A0C8AE">
      <w:start w:val="1"/>
      <w:numFmt w:val="decimal"/>
      <w:lvlText w:val="%1."/>
      <w:lvlJc w:val="left"/>
      <w:pPr>
        <w:ind w:left="720" w:hanging="360"/>
      </w:pPr>
    </w:lvl>
    <w:lvl w:ilvl="1" w:tplc="623E55A6" w:tentative="1">
      <w:start w:val="1"/>
      <w:numFmt w:val="lowerLetter"/>
      <w:lvlText w:val="%2."/>
      <w:lvlJc w:val="left"/>
      <w:pPr>
        <w:ind w:left="1440" w:hanging="360"/>
      </w:pPr>
    </w:lvl>
    <w:lvl w:ilvl="2" w:tplc="45DEB81A" w:tentative="1">
      <w:start w:val="1"/>
      <w:numFmt w:val="lowerRoman"/>
      <w:lvlText w:val="%3."/>
      <w:lvlJc w:val="right"/>
      <w:pPr>
        <w:ind w:left="2160" w:hanging="180"/>
      </w:pPr>
    </w:lvl>
    <w:lvl w:ilvl="3" w:tplc="4F280A48" w:tentative="1">
      <w:start w:val="1"/>
      <w:numFmt w:val="decimal"/>
      <w:lvlText w:val="%4."/>
      <w:lvlJc w:val="left"/>
      <w:pPr>
        <w:ind w:left="2880" w:hanging="360"/>
      </w:pPr>
    </w:lvl>
    <w:lvl w:ilvl="4" w:tplc="BA364BDE" w:tentative="1">
      <w:start w:val="1"/>
      <w:numFmt w:val="lowerLetter"/>
      <w:lvlText w:val="%5."/>
      <w:lvlJc w:val="left"/>
      <w:pPr>
        <w:ind w:left="3600" w:hanging="360"/>
      </w:pPr>
    </w:lvl>
    <w:lvl w:ilvl="5" w:tplc="E2464A0A" w:tentative="1">
      <w:start w:val="1"/>
      <w:numFmt w:val="lowerRoman"/>
      <w:lvlText w:val="%6."/>
      <w:lvlJc w:val="right"/>
      <w:pPr>
        <w:ind w:left="4320" w:hanging="180"/>
      </w:pPr>
    </w:lvl>
    <w:lvl w:ilvl="6" w:tplc="EA24F906" w:tentative="1">
      <w:start w:val="1"/>
      <w:numFmt w:val="decimal"/>
      <w:lvlText w:val="%7."/>
      <w:lvlJc w:val="left"/>
      <w:pPr>
        <w:ind w:left="5040" w:hanging="360"/>
      </w:pPr>
    </w:lvl>
    <w:lvl w:ilvl="7" w:tplc="F106321E" w:tentative="1">
      <w:start w:val="1"/>
      <w:numFmt w:val="lowerLetter"/>
      <w:lvlText w:val="%8."/>
      <w:lvlJc w:val="left"/>
      <w:pPr>
        <w:ind w:left="5760" w:hanging="360"/>
      </w:pPr>
    </w:lvl>
    <w:lvl w:ilvl="8" w:tplc="02781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209C8"/>
    <w:multiLevelType w:val="hybridMultilevel"/>
    <w:tmpl w:val="93EC5ADE"/>
    <w:lvl w:ilvl="0" w:tplc="86B66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F40A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A21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446A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65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921A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863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E3A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2E1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F734A"/>
    <w:multiLevelType w:val="hybridMultilevel"/>
    <w:tmpl w:val="D5EA2CDA"/>
    <w:lvl w:ilvl="0" w:tplc="FBD84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64938" w:tentative="1">
      <w:start w:val="1"/>
      <w:numFmt w:val="lowerLetter"/>
      <w:lvlText w:val="%2."/>
      <w:lvlJc w:val="left"/>
      <w:pPr>
        <w:ind w:left="1440" w:hanging="360"/>
      </w:pPr>
    </w:lvl>
    <w:lvl w:ilvl="2" w:tplc="56AA3022" w:tentative="1">
      <w:start w:val="1"/>
      <w:numFmt w:val="lowerRoman"/>
      <w:lvlText w:val="%3."/>
      <w:lvlJc w:val="right"/>
      <w:pPr>
        <w:ind w:left="2160" w:hanging="180"/>
      </w:pPr>
    </w:lvl>
    <w:lvl w:ilvl="3" w:tplc="FAD42DE2" w:tentative="1">
      <w:start w:val="1"/>
      <w:numFmt w:val="decimal"/>
      <w:lvlText w:val="%4."/>
      <w:lvlJc w:val="left"/>
      <w:pPr>
        <w:ind w:left="2880" w:hanging="360"/>
      </w:pPr>
    </w:lvl>
    <w:lvl w:ilvl="4" w:tplc="A274EDE6" w:tentative="1">
      <w:start w:val="1"/>
      <w:numFmt w:val="lowerLetter"/>
      <w:lvlText w:val="%5."/>
      <w:lvlJc w:val="left"/>
      <w:pPr>
        <w:ind w:left="3600" w:hanging="360"/>
      </w:pPr>
    </w:lvl>
    <w:lvl w:ilvl="5" w:tplc="0F4EA9F6" w:tentative="1">
      <w:start w:val="1"/>
      <w:numFmt w:val="lowerRoman"/>
      <w:lvlText w:val="%6."/>
      <w:lvlJc w:val="right"/>
      <w:pPr>
        <w:ind w:left="4320" w:hanging="180"/>
      </w:pPr>
    </w:lvl>
    <w:lvl w:ilvl="6" w:tplc="C6CE8A7A" w:tentative="1">
      <w:start w:val="1"/>
      <w:numFmt w:val="decimal"/>
      <w:lvlText w:val="%7."/>
      <w:lvlJc w:val="left"/>
      <w:pPr>
        <w:ind w:left="5040" w:hanging="360"/>
      </w:pPr>
    </w:lvl>
    <w:lvl w:ilvl="7" w:tplc="0A942704" w:tentative="1">
      <w:start w:val="1"/>
      <w:numFmt w:val="lowerLetter"/>
      <w:lvlText w:val="%8."/>
      <w:lvlJc w:val="left"/>
      <w:pPr>
        <w:ind w:left="5760" w:hanging="360"/>
      </w:pPr>
    </w:lvl>
    <w:lvl w:ilvl="8" w:tplc="076E4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D5606"/>
    <w:multiLevelType w:val="hybridMultilevel"/>
    <w:tmpl w:val="B92EC110"/>
    <w:lvl w:ilvl="0" w:tplc="ADFAB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C77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AA1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C06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4F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0B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27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40F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E5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47362"/>
    <w:multiLevelType w:val="hybridMultilevel"/>
    <w:tmpl w:val="997474E2"/>
    <w:lvl w:ilvl="0" w:tplc="97482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A412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AA4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A53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16DC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3E1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98E8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E6AD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6CF9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46543"/>
    <w:multiLevelType w:val="hybridMultilevel"/>
    <w:tmpl w:val="22E4D89A"/>
    <w:lvl w:ilvl="0" w:tplc="60B0C7A4">
      <w:start w:val="1"/>
      <w:numFmt w:val="decimal"/>
      <w:lvlText w:val="%1."/>
      <w:lvlJc w:val="left"/>
      <w:pPr>
        <w:ind w:left="720" w:hanging="360"/>
      </w:pPr>
    </w:lvl>
    <w:lvl w:ilvl="1" w:tplc="525E2F7E" w:tentative="1">
      <w:start w:val="1"/>
      <w:numFmt w:val="lowerLetter"/>
      <w:lvlText w:val="%2."/>
      <w:lvlJc w:val="left"/>
      <w:pPr>
        <w:ind w:left="1440" w:hanging="360"/>
      </w:pPr>
    </w:lvl>
    <w:lvl w:ilvl="2" w:tplc="6B007D00" w:tentative="1">
      <w:start w:val="1"/>
      <w:numFmt w:val="lowerRoman"/>
      <w:lvlText w:val="%3."/>
      <w:lvlJc w:val="right"/>
      <w:pPr>
        <w:ind w:left="2160" w:hanging="180"/>
      </w:pPr>
    </w:lvl>
    <w:lvl w:ilvl="3" w:tplc="034AAE92" w:tentative="1">
      <w:start w:val="1"/>
      <w:numFmt w:val="decimal"/>
      <w:lvlText w:val="%4."/>
      <w:lvlJc w:val="left"/>
      <w:pPr>
        <w:ind w:left="2880" w:hanging="360"/>
      </w:pPr>
    </w:lvl>
    <w:lvl w:ilvl="4" w:tplc="C1D22E08" w:tentative="1">
      <w:start w:val="1"/>
      <w:numFmt w:val="lowerLetter"/>
      <w:lvlText w:val="%5."/>
      <w:lvlJc w:val="left"/>
      <w:pPr>
        <w:ind w:left="3600" w:hanging="360"/>
      </w:pPr>
    </w:lvl>
    <w:lvl w:ilvl="5" w:tplc="2E3E7814" w:tentative="1">
      <w:start w:val="1"/>
      <w:numFmt w:val="lowerRoman"/>
      <w:lvlText w:val="%6."/>
      <w:lvlJc w:val="right"/>
      <w:pPr>
        <w:ind w:left="4320" w:hanging="180"/>
      </w:pPr>
    </w:lvl>
    <w:lvl w:ilvl="6" w:tplc="1FCC611C" w:tentative="1">
      <w:start w:val="1"/>
      <w:numFmt w:val="decimal"/>
      <w:lvlText w:val="%7."/>
      <w:lvlJc w:val="left"/>
      <w:pPr>
        <w:ind w:left="5040" w:hanging="360"/>
      </w:pPr>
    </w:lvl>
    <w:lvl w:ilvl="7" w:tplc="F8081544" w:tentative="1">
      <w:start w:val="1"/>
      <w:numFmt w:val="lowerLetter"/>
      <w:lvlText w:val="%8."/>
      <w:lvlJc w:val="left"/>
      <w:pPr>
        <w:ind w:left="5760" w:hanging="360"/>
      </w:pPr>
    </w:lvl>
    <w:lvl w:ilvl="8" w:tplc="4F7A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F5AA5"/>
    <w:multiLevelType w:val="hybridMultilevel"/>
    <w:tmpl w:val="86D4EF06"/>
    <w:lvl w:ilvl="0" w:tplc="EFC2A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D0CB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E6E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8A3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A5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A0C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480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E56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A4C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14ED7"/>
    <w:multiLevelType w:val="hybridMultilevel"/>
    <w:tmpl w:val="9DC07668"/>
    <w:lvl w:ilvl="0" w:tplc="929E5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69C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3EE6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ED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C4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5AEF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167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C0B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B62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725BE"/>
    <w:multiLevelType w:val="hybridMultilevel"/>
    <w:tmpl w:val="40A6B442"/>
    <w:lvl w:ilvl="0" w:tplc="6B32E838">
      <w:start w:val="1"/>
      <w:numFmt w:val="decimal"/>
      <w:lvlText w:val="%1."/>
      <w:lvlJc w:val="left"/>
      <w:pPr>
        <w:ind w:left="720" w:hanging="360"/>
      </w:pPr>
    </w:lvl>
    <w:lvl w:ilvl="1" w:tplc="693CADDE" w:tentative="1">
      <w:start w:val="1"/>
      <w:numFmt w:val="lowerLetter"/>
      <w:lvlText w:val="%2."/>
      <w:lvlJc w:val="left"/>
      <w:pPr>
        <w:ind w:left="1440" w:hanging="360"/>
      </w:pPr>
    </w:lvl>
    <w:lvl w:ilvl="2" w:tplc="8BBC289E" w:tentative="1">
      <w:start w:val="1"/>
      <w:numFmt w:val="lowerRoman"/>
      <w:lvlText w:val="%3."/>
      <w:lvlJc w:val="right"/>
      <w:pPr>
        <w:ind w:left="2160" w:hanging="180"/>
      </w:pPr>
    </w:lvl>
    <w:lvl w:ilvl="3" w:tplc="9D9C17A0" w:tentative="1">
      <w:start w:val="1"/>
      <w:numFmt w:val="decimal"/>
      <w:lvlText w:val="%4."/>
      <w:lvlJc w:val="left"/>
      <w:pPr>
        <w:ind w:left="2880" w:hanging="360"/>
      </w:pPr>
    </w:lvl>
    <w:lvl w:ilvl="4" w:tplc="9F002CCC" w:tentative="1">
      <w:start w:val="1"/>
      <w:numFmt w:val="lowerLetter"/>
      <w:lvlText w:val="%5."/>
      <w:lvlJc w:val="left"/>
      <w:pPr>
        <w:ind w:left="3600" w:hanging="360"/>
      </w:pPr>
    </w:lvl>
    <w:lvl w:ilvl="5" w:tplc="F0C2E7C8" w:tentative="1">
      <w:start w:val="1"/>
      <w:numFmt w:val="lowerRoman"/>
      <w:lvlText w:val="%6."/>
      <w:lvlJc w:val="right"/>
      <w:pPr>
        <w:ind w:left="4320" w:hanging="180"/>
      </w:pPr>
    </w:lvl>
    <w:lvl w:ilvl="6" w:tplc="A884593E" w:tentative="1">
      <w:start w:val="1"/>
      <w:numFmt w:val="decimal"/>
      <w:lvlText w:val="%7."/>
      <w:lvlJc w:val="left"/>
      <w:pPr>
        <w:ind w:left="5040" w:hanging="360"/>
      </w:pPr>
    </w:lvl>
    <w:lvl w:ilvl="7" w:tplc="05E8FB9A" w:tentative="1">
      <w:start w:val="1"/>
      <w:numFmt w:val="lowerLetter"/>
      <w:lvlText w:val="%8."/>
      <w:lvlJc w:val="left"/>
      <w:pPr>
        <w:ind w:left="5760" w:hanging="360"/>
      </w:pPr>
    </w:lvl>
    <w:lvl w:ilvl="8" w:tplc="C5EA3B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0223B"/>
    <w:multiLevelType w:val="hybridMultilevel"/>
    <w:tmpl w:val="D42C1F2E"/>
    <w:lvl w:ilvl="0" w:tplc="1C821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8ACA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3890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8CCB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2AEC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2A42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BA75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B091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7489E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704B20"/>
    <w:multiLevelType w:val="hybridMultilevel"/>
    <w:tmpl w:val="B746ADDE"/>
    <w:lvl w:ilvl="0" w:tplc="50845436">
      <w:start w:val="1"/>
      <w:numFmt w:val="decimal"/>
      <w:lvlText w:val="%1."/>
      <w:lvlJc w:val="left"/>
      <w:pPr>
        <w:ind w:left="720" w:hanging="360"/>
      </w:pPr>
    </w:lvl>
    <w:lvl w:ilvl="1" w:tplc="FD38F264" w:tentative="1">
      <w:start w:val="1"/>
      <w:numFmt w:val="lowerLetter"/>
      <w:lvlText w:val="%2."/>
      <w:lvlJc w:val="left"/>
      <w:pPr>
        <w:ind w:left="1440" w:hanging="360"/>
      </w:pPr>
    </w:lvl>
    <w:lvl w:ilvl="2" w:tplc="9B04640E" w:tentative="1">
      <w:start w:val="1"/>
      <w:numFmt w:val="lowerRoman"/>
      <w:lvlText w:val="%3."/>
      <w:lvlJc w:val="right"/>
      <w:pPr>
        <w:ind w:left="2160" w:hanging="180"/>
      </w:pPr>
    </w:lvl>
    <w:lvl w:ilvl="3" w:tplc="02E46812" w:tentative="1">
      <w:start w:val="1"/>
      <w:numFmt w:val="decimal"/>
      <w:lvlText w:val="%4."/>
      <w:lvlJc w:val="left"/>
      <w:pPr>
        <w:ind w:left="2880" w:hanging="360"/>
      </w:pPr>
    </w:lvl>
    <w:lvl w:ilvl="4" w:tplc="01F42808" w:tentative="1">
      <w:start w:val="1"/>
      <w:numFmt w:val="lowerLetter"/>
      <w:lvlText w:val="%5."/>
      <w:lvlJc w:val="left"/>
      <w:pPr>
        <w:ind w:left="3600" w:hanging="360"/>
      </w:pPr>
    </w:lvl>
    <w:lvl w:ilvl="5" w:tplc="2C9E06DA" w:tentative="1">
      <w:start w:val="1"/>
      <w:numFmt w:val="lowerRoman"/>
      <w:lvlText w:val="%6."/>
      <w:lvlJc w:val="right"/>
      <w:pPr>
        <w:ind w:left="4320" w:hanging="180"/>
      </w:pPr>
    </w:lvl>
    <w:lvl w:ilvl="6" w:tplc="3E8870E2" w:tentative="1">
      <w:start w:val="1"/>
      <w:numFmt w:val="decimal"/>
      <w:lvlText w:val="%7."/>
      <w:lvlJc w:val="left"/>
      <w:pPr>
        <w:ind w:left="5040" w:hanging="360"/>
      </w:pPr>
    </w:lvl>
    <w:lvl w:ilvl="7" w:tplc="06EA94F4" w:tentative="1">
      <w:start w:val="1"/>
      <w:numFmt w:val="lowerLetter"/>
      <w:lvlText w:val="%8."/>
      <w:lvlJc w:val="left"/>
      <w:pPr>
        <w:ind w:left="5760" w:hanging="360"/>
      </w:pPr>
    </w:lvl>
    <w:lvl w:ilvl="8" w:tplc="CDACB4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848FA"/>
    <w:multiLevelType w:val="hybridMultilevel"/>
    <w:tmpl w:val="C5A6E3C6"/>
    <w:lvl w:ilvl="0" w:tplc="45CC2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0C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BA80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B855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246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0C7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FA2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A1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EE82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D63E9"/>
    <w:multiLevelType w:val="hybridMultilevel"/>
    <w:tmpl w:val="37FC28E4"/>
    <w:lvl w:ilvl="0" w:tplc="81B6B248">
      <w:start w:val="1"/>
      <w:numFmt w:val="decimal"/>
      <w:lvlText w:val="%1."/>
      <w:lvlJc w:val="left"/>
      <w:pPr>
        <w:ind w:left="720" w:hanging="360"/>
      </w:pPr>
    </w:lvl>
    <w:lvl w:ilvl="1" w:tplc="0772ED22" w:tentative="1">
      <w:start w:val="1"/>
      <w:numFmt w:val="lowerLetter"/>
      <w:lvlText w:val="%2."/>
      <w:lvlJc w:val="left"/>
      <w:pPr>
        <w:ind w:left="1440" w:hanging="360"/>
      </w:pPr>
    </w:lvl>
    <w:lvl w:ilvl="2" w:tplc="E8780604" w:tentative="1">
      <w:start w:val="1"/>
      <w:numFmt w:val="lowerRoman"/>
      <w:lvlText w:val="%3."/>
      <w:lvlJc w:val="right"/>
      <w:pPr>
        <w:ind w:left="2160" w:hanging="180"/>
      </w:pPr>
    </w:lvl>
    <w:lvl w:ilvl="3" w:tplc="19EE3888" w:tentative="1">
      <w:start w:val="1"/>
      <w:numFmt w:val="decimal"/>
      <w:lvlText w:val="%4."/>
      <w:lvlJc w:val="left"/>
      <w:pPr>
        <w:ind w:left="2880" w:hanging="360"/>
      </w:pPr>
    </w:lvl>
    <w:lvl w:ilvl="4" w:tplc="05DC2C84" w:tentative="1">
      <w:start w:val="1"/>
      <w:numFmt w:val="lowerLetter"/>
      <w:lvlText w:val="%5."/>
      <w:lvlJc w:val="left"/>
      <w:pPr>
        <w:ind w:left="3600" w:hanging="360"/>
      </w:pPr>
    </w:lvl>
    <w:lvl w:ilvl="5" w:tplc="22E88710" w:tentative="1">
      <w:start w:val="1"/>
      <w:numFmt w:val="lowerRoman"/>
      <w:lvlText w:val="%6."/>
      <w:lvlJc w:val="right"/>
      <w:pPr>
        <w:ind w:left="4320" w:hanging="180"/>
      </w:pPr>
    </w:lvl>
    <w:lvl w:ilvl="6" w:tplc="D870D8F4" w:tentative="1">
      <w:start w:val="1"/>
      <w:numFmt w:val="decimal"/>
      <w:lvlText w:val="%7."/>
      <w:lvlJc w:val="left"/>
      <w:pPr>
        <w:ind w:left="5040" w:hanging="360"/>
      </w:pPr>
    </w:lvl>
    <w:lvl w:ilvl="7" w:tplc="8C0AD45A" w:tentative="1">
      <w:start w:val="1"/>
      <w:numFmt w:val="lowerLetter"/>
      <w:lvlText w:val="%8."/>
      <w:lvlJc w:val="left"/>
      <w:pPr>
        <w:ind w:left="5760" w:hanging="360"/>
      </w:pPr>
    </w:lvl>
    <w:lvl w:ilvl="8" w:tplc="0C7A0A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4F17F5"/>
    <w:multiLevelType w:val="hybridMultilevel"/>
    <w:tmpl w:val="A43C1158"/>
    <w:lvl w:ilvl="0" w:tplc="7F3A4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4E4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EA5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A6E9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6A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187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AE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5A29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3052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F7BB5"/>
    <w:multiLevelType w:val="hybridMultilevel"/>
    <w:tmpl w:val="27649C8A"/>
    <w:lvl w:ilvl="0" w:tplc="0B74D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E25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EA2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1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E4D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12B6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E68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D63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547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B0840"/>
    <w:multiLevelType w:val="hybridMultilevel"/>
    <w:tmpl w:val="C5C6D51A"/>
    <w:lvl w:ilvl="0" w:tplc="0CE4F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33A0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12CA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6275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BAD7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DA53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01A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48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8A7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2"/>
  </w:num>
  <w:num w:numId="5">
    <w:abstractNumId w:val="1"/>
  </w:num>
  <w:num w:numId="6">
    <w:abstractNumId w:val="15"/>
  </w:num>
  <w:num w:numId="7">
    <w:abstractNumId w:val="7"/>
  </w:num>
  <w:num w:numId="8">
    <w:abstractNumId w:val="8"/>
  </w:num>
  <w:num w:numId="9">
    <w:abstractNumId w:val="20"/>
  </w:num>
  <w:num w:numId="10">
    <w:abstractNumId w:val="6"/>
  </w:num>
  <w:num w:numId="11">
    <w:abstractNumId w:val="16"/>
  </w:num>
  <w:num w:numId="12">
    <w:abstractNumId w:val="22"/>
  </w:num>
  <w:num w:numId="13">
    <w:abstractNumId w:val="9"/>
  </w:num>
  <w:num w:numId="14">
    <w:abstractNumId w:val="11"/>
  </w:num>
  <w:num w:numId="15">
    <w:abstractNumId w:val="0"/>
  </w:num>
  <w:num w:numId="16">
    <w:abstractNumId w:val="4"/>
  </w:num>
  <w:num w:numId="17">
    <w:abstractNumId w:val="5"/>
  </w:num>
  <w:num w:numId="18">
    <w:abstractNumId w:val="18"/>
  </w:num>
  <w:num w:numId="19">
    <w:abstractNumId w:val="13"/>
  </w:num>
  <w:num w:numId="20">
    <w:abstractNumId w:val="21"/>
  </w:num>
  <w:num w:numId="21">
    <w:abstractNumId w:val="12"/>
  </w:num>
  <w:num w:numId="22">
    <w:abstractNumId w:val="23"/>
  </w:num>
  <w:num w:numId="23">
    <w:abstractNumId w:val="1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66"/>
    <w:rsid w:val="00000727"/>
    <w:rsid w:val="00004D86"/>
    <w:rsid w:val="00013FBE"/>
    <w:rsid w:val="0001479C"/>
    <w:rsid w:val="000202D3"/>
    <w:rsid w:val="00043F74"/>
    <w:rsid w:val="0004477D"/>
    <w:rsid w:val="000455FA"/>
    <w:rsid w:val="000460D3"/>
    <w:rsid w:val="000558B0"/>
    <w:rsid w:val="000571CB"/>
    <w:rsid w:val="0006059D"/>
    <w:rsid w:val="00064073"/>
    <w:rsid w:val="00082084"/>
    <w:rsid w:val="000869A5"/>
    <w:rsid w:val="000968CB"/>
    <w:rsid w:val="000A729F"/>
    <w:rsid w:val="000B578B"/>
    <w:rsid w:val="000C663B"/>
    <w:rsid w:val="000D33A4"/>
    <w:rsid w:val="000D45C6"/>
    <w:rsid w:val="000E200B"/>
    <w:rsid w:val="000E5327"/>
    <w:rsid w:val="000F002B"/>
    <w:rsid w:val="00101CB6"/>
    <w:rsid w:val="00115AF3"/>
    <w:rsid w:val="001212CE"/>
    <w:rsid w:val="00121D72"/>
    <w:rsid w:val="00122AFA"/>
    <w:rsid w:val="0012731C"/>
    <w:rsid w:val="0014060C"/>
    <w:rsid w:val="00142DC2"/>
    <w:rsid w:val="00152EFB"/>
    <w:rsid w:val="001544A9"/>
    <w:rsid w:val="00155602"/>
    <w:rsid w:val="00156A32"/>
    <w:rsid w:val="001632C2"/>
    <w:rsid w:val="001661C3"/>
    <w:rsid w:val="0016752C"/>
    <w:rsid w:val="00170FA8"/>
    <w:rsid w:val="00174282"/>
    <w:rsid w:val="001833A2"/>
    <w:rsid w:val="001869E4"/>
    <w:rsid w:val="001A0BBC"/>
    <w:rsid w:val="001A228A"/>
    <w:rsid w:val="001E111A"/>
    <w:rsid w:val="001E4CF6"/>
    <w:rsid w:val="0020695A"/>
    <w:rsid w:val="0022106C"/>
    <w:rsid w:val="00224DD0"/>
    <w:rsid w:val="00236DF5"/>
    <w:rsid w:val="002410D3"/>
    <w:rsid w:val="00242CBC"/>
    <w:rsid w:val="002550B8"/>
    <w:rsid w:val="00257D55"/>
    <w:rsid w:val="00260699"/>
    <w:rsid w:val="00261358"/>
    <w:rsid w:val="002716CB"/>
    <w:rsid w:val="00271B08"/>
    <w:rsid w:val="00273592"/>
    <w:rsid w:val="002876EB"/>
    <w:rsid w:val="00291D90"/>
    <w:rsid w:val="00297660"/>
    <w:rsid w:val="002A2420"/>
    <w:rsid w:val="002B2E6A"/>
    <w:rsid w:val="002B46E1"/>
    <w:rsid w:val="002B6529"/>
    <w:rsid w:val="002B6BC2"/>
    <w:rsid w:val="002C165A"/>
    <w:rsid w:val="002C6E56"/>
    <w:rsid w:val="002D0129"/>
    <w:rsid w:val="002D1331"/>
    <w:rsid w:val="002D53D3"/>
    <w:rsid w:val="002D5F2C"/>
    <w:rsid w:val="002D6594"/>
    <w:rsid w:val="002D7C95"/>
    <w:rsid w:val="002F21EF"/>
    <w:rsid w:val="003105B6"/>
    <w:rsid w:val="003142EB"/>
    <w:rsid w:val="003255EB"/>
    <w:rsid w:val="00333527"/>
    <w:rsid w:val="0033518F"/>
    <w:rsid w:val="00341956"/>
    <w:rsid w:val="0035443B"/>
    <w:rsid w:val="003577AB"/>
    <w:rsid w:val="00387FB3"/>
    <w:rsid w:val="00392C0F"/>
    <w:rsid w:val="003A3776"/>
    <w:rsid w:val="003A7CE8"/>
    <w:rsid w:val="003B3C10"/>
    <w:rsid w:val="003C10B7"/>
    <w:rsid w:val="003C2497"/>
    <w:rsid w:val="003C7E1D"/>
    <w:rsid w:val="003D061C"/>
    <w:rsid w:val="003D33A4"/>
    <w:rsid w:val="003D5891"/>
    <w:rsid w:val="003F46F4"/>
    <w:rsid w:val="003F72D7"/>
    <w:rsid w:val="004033DF"/>
    <w:rsid w:val="00413CF9"/>
    <w:rsid w:val="00415C45"/>
    <w:rsid w:val="00432645"/>
    <w:rsid w:val="004359B4"/>
    <w:rsid w:val="004426BD"/>
    <w:rsid w:val="004460B4"/>
    <w:rsid w:val="00447ED5"/>
    <w:rsid w:val="00461E82"/>
    <w:rsid w:val="00473B28"/>
    <w:rsid w:val="00474544"/>
    <w:rsid w:val="004861D2"/>
    <w:rsid w:val="004A26C7"/>
    <w:rsid w:val="004A2FEE"/>
    <w:rsid w:val="004C757F"/>
    <w:rsid w:val="004D52C5"/>
    <w:rsid w:val="004D7E22"/>
    <w:rsid w:val="004E19C9"/>
    <w:rsid w:val="004E2510"/>
    <w:rsid w:val="004F2133"/>
    <w:rsid w:val="004F31A3"/>
    <w:rsid w:val="004F49C7"/>
    <w:rsid w:val="004F552F"/>
    <w:rsid w:val="004F6465"/>
    <w:rsid w:val="004F658E"/>
    <w:rsid w:val="00512893"/>
    <w:rsid w:val="005220A3"/>
    <w:rsid w:val="00532D40"/>
    <w:rsid w:val="005457FF"/>
    <w:rsid w:val="005504F7"/>
    <w:rsid w:val="0055563E"/>
    <w:rsid w:val="0056344A"/>
    <w:rsid w:val="005677D9"/>
    <w:rsid w:val="00567C84"/>
    <w:rsid w:val="0057071A"/>
    <w:rsid w:val="0057622F"/>
    <w:rsid w:val="0057701D"/>
    <w:rsid w:val="00581088"/>
    <w:rsid w:val="00584ACC"/>
    <w:rsid w:val="00585695"/>
    <w:rsid w:val="00586E03"/>
    <w:rsid w:val="00595F3E"/>
    <w:rsid w:val="005A2A46"/>
    <w:rsid w:val="005B357B"/>
    <w:rsid w:val="005C4566"/>
    <w:rsid w:val="005C6261"/>
    <w:rsid w:val="005D3B3F"/>
    <w:rsid w:val="005E493F"/>
    <w:rsid w:val="005F2C9B"/>
    <w:rsid w:val="00611C83"/>
    <w:rsid w:val="0061288C"/>
    <w:rsid w:val="00612D06"/>
    <w:rsid w:val="00631432"/>
    <w:rsid w:val="00637FAA"/>
    <w:rsid w:val="006410AC"/>
    <w:rsid w:val="00643409"/>
    <w:rsid w:val="00644581"/>
    <w:rsid w:val="006451B6"/>
    <w:rsid w:val="006454D1"/>
    <w:rsid w:val="00661448"/>
    <w:rsid w:val="00661D6D"/>
    <w:rsid w:val="006668BB"/>
    <w:rsid w:val="00673203"/>
    <w:rsid w:val="0067513D"/>
    <w:rsid w:val="006821E0"/>
    <w:rsid w:val="00693B51"/>
    <w:rsid w:val="006A0E5E"/>
    <w:rsid w:val="006A54FD"/>
    <w:rsid w:val="006B59D6"/>
    <w:rsid w:val="006C2A7C"/>
    <w:rsid w:val="006D1EE8"/>
    <w:rsid w:val="006F07BE"/>
    <w:rsid w:val="006F469E"/>
    <w:rsid w:val="006F67A7"/>
    <w:rsid w:val="006F73E2"/>
    <w:rsid w:val="00714B17"/>
    <w:rsid w:val="0071513E"/>
    <w:rsid w:val="007169D2"/>
    <w:rsid w:val="00720083"/>
    <w:rsid w:val="00725B23"/>
    <w:rsid w:val="00730B18"/>
    <w:rsid w:val="00743450"/>
    <w:rsid w:val="007458A3"/>
    <w:rsid w:val="00750990"/>
    <w:rsid w:val="00754041"/>
    <w:rsid w:val="00757821"/>
    <w:rsid w:val="0076123C"/>
    <w:rsid w:val="0076152F"/>
    <w:rsid w:val="00761714"/>
    <w:rsid w:val="00763160"/>
    <w:rsid w:val="007737C0"/>
    <w:rsid w:val="00783888"/>
    <w:rsid w:val="00793BD9"/>
    <w:rsid w:val="00793EE1"/>
    <w:rsid w:val="007A5BF4"/>
    <w:rsid w:val="007A749F"/>
    <w:rsid w:val="007B10E0"/>
    <w:rsid w:val="007C03B9"/>
    <w:rsid w:val="007C20CF"/>
    <w:rsid w:val="007C21AF"/>
    <w:rsid w:val="007C46A9"/>
    <w:rsid w:val="007C53B5"/>
    <w:rsid w:val="007C6E38"/>
    <w:rsid w:val="007C7D9B"/>
    <w:rsid w:val="007D15BA"/>
    <w:rsid w:val="007D3AE8"/>
    <w:rsid w:val="007D3FBE"/>
    <w:rsid w:val="007E4044"/>
    <w:rsid w:val="007E4C35"/>
    <w:rsid w:val="007F2179"/>
    <w:rsid w:val="008047F2"/>
    <w:rsid w:val="0080548F"/>
    <w:rsid w:val="00826D43"/>
    <w:rsid w:val="008369FC"/>
    <w:rsid w:val="00851765"/>
    <w:rsid w:val="008619BC"/>
    <w:rsid w:val="008637A7"/>
    <w:rsid w:val="00866E81"/>
    <w:rsid w:val="00871018"/>
    <w:rsid w:val="008722D4"/>
    <w:rsid w:val="008928AC"/>
    <w:rsid w:val="00893984"/>
    <w:rsid w:val="00895B7D"/>
    <w:rsid w:val="008A785D"/>
    <w:rsid w:val="008B1BEB"/>
    <w:rsid w:val="008B4625"/>
    <w:rsid w:val="008C4D0A"/>
    <w:rsid w:val="008C5DA6"/>
    <w:rsid w:val="008C6833"/>
    <w:rsid w:val="008D067C"/>
    <w:rsid w:val="00900C5C"/>
    <w:rsid w:val="00903E13"/>
    <w:rsid w:val="0091218D"/>
    <w:rsid w:val="009129D5"/>
    <w:rsid w:val="00913F62"/>
    <w:rsid w:val="009273F3"/>
    <w:rsid w:val="00934773"/>
    <w:rsid w:val="00934D2E"/>
    <w:rsid w:val="00971DD3"/>
    <w:rsid w:val="00987329"/>
    <w:rsid w:val="0099148E"/>
    <w:rsid w:val="009B5A66"/>
    <w:rsid w:val="009C06F9"/>
    <w:rsid w:val="009D7F76"/>
    <w:rsid w:val="00A05B12"/>
    <w:rsid w:val="00A17091"/>
    <w:rsid w:val="00A228EF"/>
    <w:rsid w:val="00A231AC"/>
    <w:rsid w:val="00A3443B"/>
    <w:rsid w:val="00A5781B"/>
    <w:rsid w:val="00A83770"/>
    <w:rsid w:val="00A86BDD"/>
    <w:rsid w:val="00A96FD6"/>
    <w:rsid w:val="00AA4589"/>
    <w:rsid w:val="00AA48E0"/>
    <w:rsid w:val="00AA7376"/>
    <w:rsid w:val="00AB2C4F"/>
    <w:rsid w:val="00AC0411"/>
    <w:rsid w:val="00AC3686"/>
    <w:rsid w:val="00AD5358"/>
    <w:rsid w:val="00AE17FB"/>
    <w:rsid w:val="00AE4890"/>
    <w:rsid w:val="00AF06D4"/>
    <w:rsid w:val="00AF0AE7"/>
    <w:rsid w:val="00AF6410"/>
    <w:rsid w:val="00B04DE0"/>
    <w:rsid w:val="00B326B1"/>
    <w:rsid w:val="00B35BCD"/>
    <w:rsid w:val="00B43633"/>
    <w:rsid w:val="00B44CA2"/>
    <w:rsid w:val="00B46D1C"/>
    <w:rsid w:val="00B47B32"/>
    <w:rsid w:val="00B534EC"/>
    <w:rsid w:val="00B63503"/>
    <w:rsid w:val="00B644E3"/>
    <w:rsid w:val="00B71973"/>
    <w:rsid w:val="00B7359A"/>
    <w:rsid w:val="00B74AFB"/>
    <w:rsid w:val="00B74C69"/>
    <w:rsid w:val="00B75370"/>
    <w:rsid w:val="00B83B53"/>
    <w:rsid w:val="00B95A53"/>
    <w:rsid w:val="00BA4285"/>
    <w:rsid w:val="00BB0AB5"/>
    <w:rsid w:val="00BB7360"/>
    <w:rsid w:val="00BC4B47"/>
    <w:rsid w:val="00BD49C7"/>
    <w:rsid w:val="00BE2866"/>
    <w:rsid w:val="00BE7129"/>
    <w:rsid w:val="00BF66B3"/>
    <w:rsid w:val="00BF6C32"/>
    <w:rsid w:val="00C164AC"/>
    <w:rsid w:val="00C36979"/>
    <w:rsid w:val="00C371B0"/>
    <w:rsid w:val="00C524FF"/>
    <w:rsid w:val="00C577F1"/>
    <w:rsid w:val="00C70D88"/>
    <w:rsid w:val="00C76573"/>
    <w:rsid w:val="00C76EFF"/>
    <w:rsid w:val="00C85514"/>
    <w:rsid w:val="00C85B5E"/>
    <w:rsid w:val="00C87449"/>
    <w:rsid w:val="00C90531"/>
    <w:rsid w:val="00C9641C"/>
    <w:rsid w:val="00C9706F"/>
    <w:rsid w:val="00CC70EA"/>
    <w:rsid w:val="00CD5EEB"/>
    <w:rsid w:val="00CE11A1"/>
    <w:rsid w:val="00CE4DCA"/>
    <w:rsid w:val="00CF254F"/>
    <w:rsid w:val="00CF748C"/>
    <w:rsid w:val="00D01477"/>
    <w:rsid w:val="00D07CDE"/>
    <w:rsid w:val="00D20309"/>
    <w:rsid w:val="00D2035B"/>
    <w:rsid w:val="00D434ED"/>
    <w:rsid w:val="00D4576D"/>
    <w:rsid w:val="00D548A2"/>
    <w:rsid w:val="00D75008"/>
    <w:rsid w:val="00D807DD"/>
    <w:rsid w:val="00D8764D"/>
    <w:rsid w:val="00D906D1"/>
    <w:rsid w:val="00DA26CB"/>
    <w:rsid w:val="00DC17F2"/>
    <w:rsid w:val="00DD50BB"/>
    <w:rsid w:val="00DD7893"/>
    <w:rsid w:val="00DE677A"/>
    <w:rsid w:val="00DF7B5E"/>
    <w:rsid w:val="00E00BC1"/>
    <w:rsid w:val="00E021DD"/>
    <w:rsid w:val="00E078C1"/>
    <w:rsid w:val="00E11AB8"/>
    <w:rsid w:val="00E13D57"/>
    <w:rsid w:val="00E2234F"/>
    <w:rsid w:val="00E40866"/>
    <w:rsid w:val="00E52F32"/>
    <w:rsid w:val="00E5451A"/>
    <w:rsid w:val="00E63077"/>
    <w:rsid w:val="00E64181"/>
    <w:rsid w:val="00E77910"/>
    <w:rsid w:val="00E91CA6"/>
    <w:rsid w:val="00E9485A"/>
    <w:rsid w:val="00E95855"/>
    <w:rsid w:val="00EA103C"/>
    <w:rsid w:val="00EA23FB"/>
    <w:rsid w:val="00EA35A3"/>
    <w:rsid w:val="00EA7127"/>
    <w:rsid w:val="00EB0C85"/>
    <w:rsid w:val="00EC4774"/>
    <w:rsid w:val="00EC5BC6"/>
    <w:rsid w:val="00ED3662"/>
    <w:rsid w:val="00EE08DB"/>
    <w:rsid w:val="00EF283B"/>
    <w:rsid w:val="00F04B61"/>
    <w:rsid w:val="00F0731F"/>
    <w:rsid w:val="00F151A9"/>
    <w:rsid w:val="00F16DB9"/>
    <w:rsid w:val="00F21071"/>
    <w:rsid w:val="00F21911"/>
    <w:rsid w:val="00F35D3F"/>
    <w:rsid w:val="00F44866"/>
    <w:rsid w:val="00F719E6"/>
    <w:rsid w:val="00F7311D"/>
    <w:rsid w:val="00F731C5"/>
    <w:rsid w:val="00F82B05"/>
    <w:rsid w:val="00F87229"/>
    <w:rsid w:val="00F91C3C"/>
    <w:rsid w:val="00F938F5"/>
    <w:rsid w:val="00FC5DDA"/>
    <w:rsid w:val="00FD722E"/>
    <w:rsid w:val="00FE3C0F"/>
    <w:rsid w:val="00FE4CD5"/>
    <w:rsid w:val="00FE5242"/>
    <w:rsid w:val="00FF1CE0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chartTrackingRefBased/>
  <w15:docId w15:val="{B504F0A8-F799-48FD-A3C0-6BE29CAF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1B6"/>
    <w:pPr>
      <w:keepNext/>
      <w:keepLines/>
      <w:spacing w:after="120"/>
      <w:outlineLvl w:val="0"/>
    </w:pPr>
    <w:rPr>
      <w:rFonts w:eastAsiaTheme="majorEastAsia" w:cstheme="majorBidi"/>
      <w:b/>
      <w:color w:val="435DA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1B6"/>
    <w:pPr>
      <w:keepNext/>
      <w:keepLines/>
      <w:spacing w:before="40" w:after="0"/>
      <w:outlineLvl w:val="1"/>
    </w:pPr>
    <w:rPr>
      <w:rFonts w:eastAsiaTheme="majorEastAsia" w:cstheme="majorBidi"/>
      <w:b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7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408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32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2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A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AF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AFA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AFA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122AF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2AF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451B6"/>
    <w:rPr>
      <w:rFonts w:eastAsiaTheme="majorEastAsia" w:cstheme="majorBidi"/>
      <w:b/>
      <w:color w:val="435DAA"/>
      <w:sz w:val="36"/>
      <w:szCs w:val="32"/>
      <w:lang w:val="en-US"/>
    </w:rPr>
  </w:style>
  <w:style w:type="paragraph" w:styleId="ListParagraph">
    <w:name w:val="List Paragraph"/>
    <w:basedOn w:val="Normal"/>
    <w:uiPriority w:val="34"/>
    <w:rsid w:val="007C20C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451B6"/>
    <w:rPr>
      <w:rFonts w:eastAsiaTheme="majorEastAsia" w:cstheme="majorBidi"/>
      <w:b/>
      <w:color w:val="595959" w:themeColor="text1" w:themeTint="A6"/>
      <w:sz w:val="28"/>
      <w:szCs w:val="26"/>
      <w:lang w:val="en-US"/>
    </w:rPr>
  </w:style>
  <w:style w:type="table" w:styleId="TableGrid">
    <w:name w:val="Table Grid"/>
    <w:basedOn w:val="TableNormal"/>
    <w:uiPriority w:val="39"/>
    <w:rsid w:val="00CD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40866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74AFB"/>
    <w:pPr>
      <w:outlineLvl w:val="9"/>
    </w:pPr>
    <w:rPr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D807DD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74AFB"/>
    <w:pPr>
      <w:spacing w:after="100"/>
      <w:ind w:left="220"/>
    </w:pPr>
  </w:style>
  <w:style w:type="paragraph" w:styleId="IntenseQuote">
    <w:name w:val="Intense Quote"/>
    <w:basedOn w:val="Normal"/>
    <w:next w:val="Normal"/>
    <w:link w:val="IntenseQuoteChar"/>
    <w:uiPriority w:val="30"/>
    <w:rsid w:val="00AE489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890"/>
    <w:rPr>
      <w:i/>
      <w:iCs/>
      <w:color w:val="4472C4" w:themeColor="accent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73203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3203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1714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36DF5"/>
    <w:pPr>
      <w:spacing w:after="100"/>
      <w:ind w:left="440"/>
    </w:pPr>
  </w:style>
  <w:style w:type="paragraph" w:styleId="BodyText">
    <w:name w:val="Body Text"/>
    <w:basedOn w:val="BodyText2"/>
    <w:link w:val="BodyTextChar"/>
    <w:rsid w:val="00FD722E"/>
    <w:pPr>
      <w:spacing w:before="240" w:line="259" w:lineRule="auto"/>
      <w:jc w:val="both"/>
    </w:pPr>
    <w:rPr>
      <w:rFonts w:ascii="Calibri" w:eastAsia="Times New Roman" w:hAnsi="Calibri" w:cs="Arial"/>
      <w:color w:val="595959"/>
      <w:szCs w:val="20"/>
    </w:rPr>
  </w:style>
  <w:style w:type="character" w:customStyle="1" w:styleId="BodyTextChar">
    <w:name w:val="Body Text Char"/>
    <w:basedOn w:val="DefaultParagraphFont"/>
    <w:link w:val="BodyText"/>
    <w:rsid w:val="00FD722E"/>
    <w:rPr>
      <w:rFonts w:ascii="Calibri" w:eastAsia="Times New Roman" w:hAnsi="Calibri" w:cs="Arial"/>
      <w:color w:val="595959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72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722E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4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0D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41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0D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https://www.ecfr.gov/cgi-bin/retrieveECFR?gp=1&amp;ty=HTML&amp;h=L&amp;mc=true&amp;=PART&amp;n=pt49.5.382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law.cornell.edu/cfr/text/49/40.261" TargetMode="External"/><Relationship Id="rId42" Type="http://schemas.openxmlformats.org/officeDocument/2006/relationships/hyperlink" Target="https://www.federalregister.gov/d/2016-27398/p-674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ecure.login.gov/?request_id=0d841523-73c7-4f33-a9cf-e99d1980007d" TargetMode="Externa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yperlink" Target="https://www.transportation.gov/odapc/part40/40-191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ecfr.gov/cgi-bin/retrieveECFR?gp=1&amp;ty=HTML&amp;h=L&amp;mc=true&amp;=PART&amp;n=pt49.5.382" TargetMode="External"/><Relationship Id="rId45" Type="http://schemas.openxmlformats.org/officeDocument/2006/relationships/hyperlink" Target="https://www.ecfr.gov/cgi-bin/retrieveECFR?gp=1&amp;ty=HTML&amp;h=L&amp;mc=true&amp;=PART&amp;n=pt49.5.382" TargetMode="External"/><Relationship Id="rId53" Type="http://schemas.openxmlformats.org/officeDocument/2006/relationships/header" Target="header3.xml"/><Relationship Id="rId58" Type="http://schemas.openxmlformats.org/officeDocument/2006/relationships/hyperlink" Target="https://www.fmcsa.dot.gov/regulations/title49/section/382.305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ecfr.gov/cgi-bin/retrieveECFR?gp=1&amp;ty=HTML&amp;h=L&amp;mc=true&amp;=PART&amp;n=pt49.5.382" TargetMode="External"/><Relationship Id="rId14" Type="http://schemas.openxmlformats.org/officeDocument/2006/relationships/hyperlink" Target="https://clearinghouse.fmcsa.dot.gov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federalregister.gov/d/2016-27398/p-648" TargetMode="External"/><Relationship Id="rId30" Type="http://schemas.openxmlformats.org/officeDocument/2006/relationships/hyperlink" Target="https://www.federalregister.gov/d/2016-27398/p-654" TargetMode="External"/><Relationship Id="rId35" Type="http://schemas.openxmlformats.org/officeDocument/2006/relationships/hyperlink" Target="https://www.transportation.gov/odapc/part40/40-191" TargetMode="External"/><Relationship Id="rId43" Type="http://schemas.openxmlformats.org/officeDocument/2006/relationships/hyperlink" Target="https://www.federalregister.gov/d/2016-27398/p-669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s://www.ecfr.gov/cgi-bin/retrieveECFR?gp=1&amp;ty=HTML&amp;h=L&amp;mc=true&amp;=PART&amp;n=pt49.5.382" TargetMode="External"/><Relationship Id="rId8" Type="http://schemas.openxmlformats.org/officeDocument/2006/relationships/header" Target="header1.xm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www.federalregister.gov/documents/2016/12/05/2016-27398/commercial-drivers-license-drug-and-alcohol-clearinghouse" TargetMode="External"/><Relationship Id="rId17" Type="http://schemas.openxmlformats.org/officeDocument/2006/relationships/hyperlink" Target="https://secure.login.gov/sign_up/enter_email?request_id=0d841523-73c7-4f33-a9cf-e99d1980007d" TargetMode="External"/><Relationship Id="rId25" Type="http://schemas.openxmlformats.org/officeDocument/2006/relationships/hyperlink" Target="https://clearinghouse.fmcsa.dot.gov/Query/Plan" TargetMode="External"/><Relationship Id="rId33" Type="http://schemas.openxmlformats.org/officeDocument/2006/relationships/hyperlink" Target="https://www.federalregister.gov/d/2016-27398/p-664" TargetMode="External"/><Relationship Id="rId38" Type="http://schemas.openxmlformats.org/officeDocument/2006/relationships/hyperlink" Target="https://www.ecfr.gov/cgi-bin/retrieveECFR?gp=1&amp;ty=HTML&amp;h=L&amp;mc=true&amp;=PART&amp;n=pt49.5.382" TargetMode="External"/><Relationship Id="rId46" Type="http://schemas.openxmlformats.org/officeDocument/2006/relationships/image" Target="media/image15.png"/><Relationship Id="rId59" Type="http://schemas.openxmlformats.org/officeDocument/2006/relationships/header" Target="header4.xml"/><Relationship Id="rId20" Type="http://schemas.openxmlformats.org/officeDocument/2006/relationships/hyperlink" Target="https://www.federalregister.gov/select-citation/2016/12/05/49-CFR-40" TargetMode="External"/><Relationship Id="rId41" Type="http://schemas.openxmlformats.org/officeDocument/2006/relationships/hyperlink" Target="https://www.federalregister.gov/d/2016-27398/p-684" TargetMode="External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transportation.gov/odapc/part40/40-191" TargetMode="External"/><Relationship Id="rId36" Type="http://schemas.openxmlformats.org/officeDocument/2006/relationships/hyperlink" Target="https://www.law.cornell.edu/cfr/text/49/40.261" TargetMode="External"/><Relationship Id="rId49" Type="http://schemas.openxmlformats.org/officeDocument/2006/relationships/image" Target="media/image18.png"/><Relationship Id="rId57" Type="http://schemas.openxmlformats.org/officeDocument/2006/relationships/hyperlink" Target="https://www.fmcsa.dot.gov/regulations/title49/section/391.23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3.png"/><Relationship Id="rId44" Type="http://schemas.openxmlformats.org/officeDocument/2006/relationships/hyperlink" Target="https://www.federalregister.gov/d/2016-27398/p-689" TargetMode="External"/><Relationship Id="rId52" Type="http://schemas.openxmlformats.org/officeDocument/2006/relationships/hyperlink" Target="https://clearinghouse.fmcsa.dot.gov/Resource/Index/Sample-Limited-Consent-For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18D3B-BDE5-0C4E-9922-8F3CB0F6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3419</Words>
  <Characters>19490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Scholz, Andrew</dc:creator>
  <cp:lastModifiedBy>Michael Natalizio</cp:lastModifiedBy>
  <cp:revision>2</cp:revision>
  <dcterms:created xsi:type="dcterms:W3CDTF">2019-10-29T14:13:00Z</dcterms:created>
  <dcterms:modified xsi:type="dcterms:W3CDTF">2019-10-29T14:13:00Z</dcterms:modified>
</cp:coreProperties>
</file>